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Lines/>
        <w:keepNext/>
        <w:rPr>
          <w:rFonts w:eastAsia="Calibri"/>
          <w:b/>
          <w:sz w:val="26"/>
          <w:szCs w:val="26"/>
          <w:highlight w:val="white"/>
        </w:rPr>
      </w:pPr>
      <w:r>
        <w:rPr>
          <w:rFonts w:eastAsia="Calibri"/>
          <w:b/>
          <w:sz w:val="26"/>
          <w:szCs w:val="26"/>
          <w:highlight w:val="white"/>
        </w:rPr>
      </w:r>
      <w:r>
        <w:rPr>
          <w:rFonts w:eastAsia="Calibri"/>
          <w:b/>
          <w:sz w:val="26"/>
          <w:szCs w:val="26"/>
          <w:highlight w:val="white"/>
        </w:rPr>
      </w:r>
      <w:r>
        <w:rPr>
          <w:rFonts w:eastAsia="Calibri"/>
          <w:b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white"/>
        </w:rPr>
      </w:pPr>
      <w:r>
        <w:rPr>
          <w:rFonts w:eastAsia="Calibri"/>
          <w:b/>
          <w:sz w:val="26"/>
          <w:szCs w:val="26"/>
          <w:highlight w:val="white"/>
        </w:rPr>
      </w:r>
      <w:r>
        <w:rPr>
          <w:rFonts w:eastAsia="Calibri"/>
          <w:b/>
          <w:sz w:val="26"/>
          <w:szCs w:val="26"/>
          <w:highlight w:val="white"/>
        </w:rPr>
      </w:r>
      <w:r>
        <w:rPr>
          <w:rFonts w:eastAsia="Calibri"/>
          <w:b/>
          <w:sz w:val="26"/>
          <w:szCs w:val="26"/>
          <w:highlight w:val="white"/>
        </w:rPr>
      </w:r>
    </w:p>
    <w:p>
      <w:pPr>
        <w:jc w:val="right"/>
        <w:keepLines/>
        <w:keepNext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keepLines/>
        <w:keepNext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keepLines/>
        <w:keepNext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keepLines/>
        <w:keepNext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keepLines/>
        <w:keepNext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keepLines/>
        <w:keepNext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keepLines/>
        <w:keepNext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keepLines/>
        <w:keepNext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keepLines/>
        <w:keepNext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keepLines/>
        <w:keepNext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keepLines/>
        <w:keepNext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keepLines/>
        <w:keepNext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keepLines/>
        <w:keepNext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keepLines/>
        <w:keepNext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keepLines/>
        <w:keepNext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keepLines/>
        <w:keepNext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keepLines/>
        <w:keepNext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white"/>
        </w:rPr>
      </w:pPr>
      <w:r>
        <w:rPr>
          <w:rFonts w:eastAsia="Calibri"/>
          <w:b/>
          <w:sz w:val="26"/>
          <w:szCs w:val="26"/>
          <w:highlight w:val="white"/>
        </w:rPr>
        <w:t xml:space="preserve">Технические требования </w:t>
      </w:r>
      <w:r>
        <w:rPr>
          <w:rFonts w:eastAsia="Calibri"/>
          <w:b/>
          <w:sz w:val="26"/>
          <w:szCs w:val="26"/>
          <w:highlight w:val="white"/>
        </w:rPr>
      </w:r>
      <w:r>
        <w:rPr>
          <w:rFonts w:eastAsia="Calibri"/>
          <w:b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white"/>
        </w:rPr>
      </w:pPr>
      <w:r>
        <w:rPr>
          <w:rFonts w:eastAsia="Calibri"/>
          <w:b/>
          <w:sz w:val="26"/>
          <w:szCs w:val="26"/>
          <w:highlight w:val="white"/>
        </w:rPr>
      </w:r>
      <w:r>
        <w:rPr>
          <w:rFonts w:eastAsia="Calibri"/>
          <w:b/>
          <w:sz w:val="26"/>
          <w:szCs w:val="26"/>
          <w:highlight w:val="white"/>
        </w:rPr>
      </w:r>
      <w:r>
        <w:rPr>
          <w:rFonts w:eastAsia="Calibri"/>
          <w:b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white"/>
        </w:rPr>
      </w:pPr>
      <w:r>
        <w:rPr>
          <w:rFonts w:eastAsia="Calibri"/>
          <w:b/>
          <w:sz w:val="26"/>
          <w:szCs w:val="26"/>
          <w:highlight w:val="white"/>
        </w:rPr>
      </w:r>
      <w:r>
        <w:rPr>
          <w:rFonts w:eastAsia="Calibri"/>
          <w:b/>
          <w:sz w:val="26"/>
          <w:szCs w:val="26"/>
          <w:highlight w:val="white"/>
        </w:rPr>
      </w:r>
      <w:r>
        <w:rPr>
          <w:rFonts w:eastAsia="Calibri"/>
          <w:b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strike w:val="0"/>
          <w:sz w:val="26"/>
          <w:szCs w:val="26"/>
        </w:rPr>
        <w:t xml:space="preserve">«</w:t>
      </w:r>
      <w:r>
        <w:rPr>
          <w:rFonts w:eastAsia="Calibri"/>
          <w:b/>
          <w:strike w:val="0"/>
          <w:sz w:val="26"/>
          <w:szCs w:val="26"/>
          <w:highlight w:val="white"/>
        </w:rPr>
        <w:t xml:space="preserve">ОКПД2 </w:t>
      </w:r>
      <w:r>
        <w:rPr>
          <w:rFonts w:eastAsia="Calibri"/>
          <w:b/>
          <w:strike w:val="0"/>
          <w:sz w:val="26"/>
          <w:szCs w:val="26"/>
          <w:highlight w:val="white"/>
        </w:rPr>
        <w:t xml:space="preserve">43.29.11.140</w:t>
      </w:r>
      <w:r>
        <w:rPr>
          <w:rFonts w:eastAsia="Calibri"/>
          <w:b/>
          <w:strike w:val="0"/>
          <w:sz w:val="26"/>
          <w:szCs w:val="26"/>
          <w:highlight w:val="white"/>
        </w:rPr>
        <w:t xml:space="preserve"> Выполнение работ по покрытию кабельных трасс огнезащитным составом электрического цеха Нерюнгринской ГРЭС, г. Нерюнгри пос. Серебряный Бор</w:t>
      </w:r>
      <w:r>
        <w:rPr>
          <w:rFonts w:eastAsia="Calibri"/>
          <w:b/>
          <w:sz w:val="26"/>
          <w:szCs w:val="26"/>
        </w:rPr>
        <w:t xml:space="preserve">» </w:t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sz w:val="26"/>
          <w:szCs w:val="26"/>
          <w:highlight w:val="none"/>
        </w:rPr>
        <w:t xml:space="preserve">Лот № </w:t>
      </w:r>
      <w:r>
        <w:rPr>
          <w:rFonts w:eastAsia="Calibri"/>
          <w:b/>
          <w:bCs/>
          <w:sz w:val="26"/>
          <w:szCs w:val="26"/>
        </w:rPr>
        <w:t xml:space="preserve">11023032-РЕМ ПРОД-2026-ДГК-НерГРЭС</w:t>
      </w: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br w:type="page" w:clear="all"/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highlight w:val="white"/>
        </w:rPr>
        <w:t xml:space="preserve">СОДЕРЖАНИЕ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white"/>
        </w:rPr>
      </w:pPr>
      <w:r>
        <w:rPr>
          <w:b/>
          <w:highlight w:val="non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72"/>
        <w:tabs>
          <w:tab w:val="left" w:pos="567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rFonts w:cstheme="majorHAnsi"/>
          <w:b w:val="0"/>
          <w:i/>
          <w:caps/>
          <w:highlight w:val="white"/>
        </w:rPr>
        <w:fldChar w:fldCharType="begin"/>
      </w:r>
      <w:r>
        <w:rPr>
          <w:rFonts w:cstheme="majorHAnsi"/>
          <w:b w:val="0"/>
          <w:i/>
          <w:caps/>
          <w:highlight w:val="white"/>
        </w:rPr>
        <w:instrText xml:space="preserve"> TOC \o "1-4" \h \z \u </w:instrText>
      </w:r>
      <w:r>
        <w:rPr>
          <w:rFonts w:cstheme="majorHAnsi"/>
          <w:b w:val="0"/>
          <w:i/>
          <w:caps/>
          <w:highlight w:val="white"/>
        </w:rPr>
        <w:fldChar w:fldCharType="separate"/>
      </w:r>
      <w:hyperlink w:tooltip="#_Toc142924498" w:anchor="_Toc142924498" w:history="1">
        <w:r>
          <w:rPr>
            <w:rStyle w:val="974"/>
            <w:sz w:val="24"/>
            <w:szCs w:val="24"/>
            <w:highlight w:val="white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sz w:val="24"/>
            <w:szCs w:val="24"/>
          </w:rPr>
          <w:tab/>
        </w:r>
        <w:r>
          <w:rPr>
            <w:rStyle w:val="974"/>
            <w:sz w:val="24"/>
            <w:szCs w:val="24"/>
            <w:highlight w:val="white"/>
          </w:rPr>
          <w:t xml:space="preserve">Общие сведения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_Toc142924498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3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</w:p>
    <w:p>
      <w:pPr>
        <w:pStyle w:val="98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>
        <w:rPr>
          <w:sz w:val="24"/>
          <w:szCs w:val="24"/>
        </w:rPr>
      </w:r>
      <w:hyperlink w:tooltip="#_Toc142924499" w:anchor="_Toc142924499" w:history="1">
        <w:r>
          <w:rPr>
            <w:rStyle w:val="974"/>
            <w:b/>
            <w:iCs/>
            <w:sz w:val="24"/>
            <w:szCs w:val="24"/>
            <w:highlight w:val="white"/>
          </w:rPr>
          <w:t xml:space="preserve">1.1.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74"/>
            <w:sz w:val="24"/>
            <w:szCs w:val="24"/>
            <w:highlight w:val="white"/>
          </w:rPr>
          <w:t xml:space="preserve">Обозначения и сокращения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_Toc142924499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3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8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>
        <w:rPr>
          <w:sz w:val="24"/>
          <w:szCs w:val="24"/>
        </w:rPr>
      </w:r>
      <w:hyperlink w:tooltip="#_Toc142924500" w:anchor="_Toc142924500" w:history="1">
        <w:r>
          <w:rPr>
            <w:rStyle w:val="974"/>
            <w:b/>
            <w:iCs/>
            <w:sz w:val="24"/>
            <w:szCs w:val="24"/>
            <w:highlight w:val="white"/>
          </w:rPr>
          <w:t xml:space="preserve">1.2.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74"/>
            <w:sz w:val="24"/>
            <w:szCs w:val="24"/>
            <w:highlight w:val="white"/>
          </w:rPr>
          <w:t xml:space="preserve">Наименование закупаемой продукции.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_Toc142924500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4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8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>
        <w:rPr>
          <w:sz w:val="24"/>
          <w:szCs w:val="24"/>
        </w:rPr>
      </w:r>
      <w:hyperlink w:tooltip="#_Toc142924501" w:anchor="_Toc142924501" w:history="1">
        <w:r>
          <w:rPr>
            <w:rStyle w:val="974"/>
            <w:b/>
            <w:iCs/>
            <w:sz w:val="24"/>
            <w:szCs w:val="24"/>
            <w:highlight w:val="white"/>
          </w:rPr>
          <w:t xml:space="preserve">1.3.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74"/>
            <w:sz w:val="24"/>
            <w:szCs w:val="24"/>
            <w:highlight w:val="white"/>
          </w:rPr>
          <w:t xml:space="preserve">Цель использования закупаемой продукции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_Toc142924501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4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2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sz w:val="24"/>
          <w:szCs w:val="24"/>
        </w:rPr>
      </w:r>
      <w:hyperlink w:tooltip="#_Toc142924503" w:anchor="_Toc142924503" w:history="1">
        <w:r>
          <w:rPr>
            <w:rStyle w:val="974"/>
            <w:sz w:val="24"/>
            <w:szCs w:val="24"/>
            <w:highlight w:val="white"/>
          </w:rPr>
          <w:t xml:space="preserve">Таблица 1. Перечень объектов заказчика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_Toc142924503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4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</w:p>
    <w:p>
      <w:pPr>
        <w:pStyle w:val="98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>
        <w:rPr>
          <w:sz w:val="24"/>
          <w:szCs w:val="24"/>
        </w:rPr>
      </w:r>
      <w:hyperlink w:tooltip="#_Toc142924504" w:anchor="_Toc142924504" w:history="1">
        <w:r>
          <w:rPr>
            <w:rStyle w:val="974"/>
            <w:b/>
            <w:iCs/>
            <w:sz w:val="24"/>
            <w:szCs w:val="24"/>
            <w:highlight w:val="white"/>
          </w:rPr>
          <w:t xml:space="preserve">1.4.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74"/>
            <w:sz w:val="24"/>
            <w:szCs w:val="24"/>
            <w:highlight w:val="white"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_Toc142924504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5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2"/>
        <w:tabs>
          <w:tab w:val="left" w:pos="567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sz w:val="24"/>
          <w:szCs w:val="24"/>
        </w:rPr>
      </w:r>
      <w:hyperlink w:tooltip="#_Toc142924506" w:anchor="_Toc142924506" w:history="1">
        <w:r>
          <w:rPr>
            <w:rStyle w:val="974"/>
            <w:sz w:val="24"/>
            <w:szCs w:val="24"/>
            <w:highlight w:val="white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sz w:val="24"/>
            <w:szCs w:val="24"/>
          </w:rPr>
          <w:tab/>
        </w:r>
        <w:r>
          <w:rPr>
            <w:rStyle w:val="974"/>
            <w:sz w:val="24"/>
            <w:szCs w:val="24"/>
            <w:highlight w:val="white"/>
          </w:rPr>
          <w:t xml:space="preserve">Требования к продукции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_Toc142924506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5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</w:p>
    <w:p>
      <w:pPr>
        <w:pStyle w:val="98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>
        <w:rPr>
          <w:sz w:val="24"/>
          <w:szCs w:val="24"/>
        </w:rPr>
      </w:r>
      <w:hyperlink w:tooltip="#_Toc142924507" w:anchor="_Toc142924507" w:history="1">
        <w:r>
          <w:rPr>
            <w:rStyle w:val="974"/>
            <w:b/>
            <w:iCs/>
            <w:sz w:val="24"/>
            <w:szCs w:val="24"/>
            <w:highlight w:val="white"/>
          </w:rPr>
          <w:t xml:space="preserve">2.1.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74"/>
            <w:sz w:val="24"/>
            <w:szCs w:val="24"/>
            <w:highlight w:val="white"/>
          </w:rPr>
          <w:t xml:space="preserve">Требования по объемам и срокам выполнения работ</w:t>
        </w:r>
        <w:r>
          <w:rPr>
            <w:sz w:val="24"/>
            <w:szCs w:val="24"/>
          </w:rPr>
          <w:tab/>
          <w:t xml:space="preserve">5</w:t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3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sz w:val="24"/>
          <w:szCs w:val="24"/>
        </w:rPr>
      </w:r>
      <w:hyperlink w:tooltip="#_Toc142924508" w:anchor="_Toc142924508" w:history="1">
        <w:r>
          <w:rPr>
            <w:rStyle w:val="974"/>
            <w:b/>
            <w:sz w:val="24"/>
            <w:szCs w:val="24"/>
            <w:highlight w:val="white"/>
          </w:rPr>
          <w:t xml:space="preserve">2.1.1.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74"/>
            <w:sz w:val="24"/>
            <w:szCs w:val="24"/>
            <w:highlight w:val="white"/>
          </w:rPr>
          <w:t xml:space="preserve">Требования к видам и объемам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_Toc142924508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5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2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sz w:val="24"/>
          <w:szCs w:val="24"/>
        </w:rPr>
      </w:r>
      <w:hyperlink w:tooltip="#_Toc142924509" w:anchor="_Toc142924509" w:history="1">
        <w:r>
          <w:rPr>
            <w:rStyle w:val="974"/>
            <w:sz w:val="24"/>
            <w:szCs w:val="24"/>
            <w:highlight w:val="white"/>
          </w:rPr>
          <w:t xml:space="preserve">Таблица 2. Перечень и объем выполняемых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_Toc142924509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5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</w:p>
    <w:p>
      <w:pPr>
        <w:pStyle w:val="973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sz w:val="24"/>
          <w:szCs w:val="24"/>
        </w:rPr>
      </w:r>
      <w:hyperlink w:tooltip="#_Toc142924510" w:anchor="_Toc142924510" w:history="1">
        <w:r>
          <w:rPr>
            <w:rStyle w:val="974"/>
            <w:b/>
            <w:sz w:val="24"/>
            <w:szCs w:val="24"/>
            <w:highlight w:val="white"/>
          </w:rPr>
          <w:t xml:space="preserve">2.1.2.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74"/>
            <w:sz w:val="24"/>
            <w:szCs w:val="24"/>
            <w:highlight w:val="white"/>
          </w:rPr>
          <w:t xml:space="preserve">Требования к срокам выполнения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_Toc142924510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5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2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sz w:val="24"/>
          <w:szCs w:val="24"/>
        </w:rPr>
      </w:r>
      <w:hyperlink w:tooltip="#_Toc142924511" w:anchor="_Toc142924511" w:history="1">
        <w:r>
          <w:rPr>
            <w:rStyle w:val="974"/>
            <w:sz w:val="24"/>
            <w:szCs w:val="24"/>
            <w:highlight w:val="white"/>
          </w:rPr>
          <w:t xml:space="preserve">Таблица 3. Требования по срокам выполнения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_Toc142924511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5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</w:p>
    <w:p>
      <w:pPr>
        <w:pStyle w:val="98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>
        <w:rPr>
          <w:sz w:val="24"/>
          <w:szCs w:val="24"/>
        </w:rPr>
      </w:r>
      <w:hyperlink w:tooltip="#_Toc142924512" w:anchor="_Toc142924512" w:history="1">
        <w:r>
          <w:rPr>
            <w:rStyle w:val="974"/>
            <w:b/>
            <w:iCs/>
            <w:sz w:val="24"/>
            <w:szCs w:val="24"/>
            <w:highlight w:val="white"/>
          </w:rPr>
          <w:t xml:space="preserve">2.2.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74"/>
            <w:sz w:val="24"/>
            <w:szCs w:val="24"/>
            <w:highlight w:val="white"/>
          </w:rPr>
          <w:t xml:space="preserve">Требования к качеству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_Toc142924512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6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2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sz w:val="24"/>
          <w:szCs w:val="24"/>
        </w:rPr>
      </w:r>
      <w:hyperlink w:tooltip="#_Toc142924513" w:anchor="_Toc142924513" w:history="1">
        <w:r>
          <w:rPr>
            <w:rStyle w:val="974"/>
            <w:sz w:val="24"/>
            <w:szCs w:val="24"/>
            <w:highlight w:val="white"/>
          </w:rPr>
          <w:t xml:space="preserve">Таблица 4. Требования к качеству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_Toc142924513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6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</w:p>
    <w:p>
      <w:pPr>
        <w:pStyle w:val="973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sz w:val="24"/>
          <w:szCs w:val="24"/>
        </w:rPr>
      </w:r>
      <w:hyperlink w:tooltip="#_Toc142924514" w:anchor="_Toc142924514" w:history="1">
        <w:r>
          <w:rPr>
            <w:rStyle w:val="974"/>
            <w:rFonts w:eastAsia="Calibri"/>
            <w:i/>
            <w:sz w:val="24"/>
            <w:szCs w:val="24"/>
            <w:highlight w:val="white"/>
          </w:rPr>
          <w:t xml:space="preserve">Требования к безопасности выполняемых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_Toc142924514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10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3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sz w:val="24"/>
          <w:szCs w:val="24"/>
        </w:rPr>
      </w:r>
      <w:hyperlink w:tooltip="#_Toc142924515" w:anchor="_Toc142924515" w:history="1">
        <w:r>
          <w:rPr>
            <w:rStyle w:val="974"/>
            <w:rFonts w:eastAsia="Calibri"/>
            <w:i/>
            <w:sz w:val="24"/>
            <w:szCs w:val="24"/>
            <w:highlight w:val="white"/>
          </w:rPr>
          <w:t xml:space="preserve">Соблюдение требований к пожарной безопасности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_Toc142924515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11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3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sz w:val="24"/>
          <w:szCs w:val="24"/>
        </w:rPr>
      </w:r>
      <w:hyperlink w:tooltip="#_Toc142924516" w:anchor="_Toc142924516" w:history="1">
        <w:r>
          <w:rPr>
            <w:rStyle w:val="974"/>
            <w:rFonts w:eastAsia="Calibri"/>
            <w:i/>
            <w:sz w:val="24"/>
            <w:szCs w:val="24"/>
            <w:highlight w:val="white"/>
          </w:rPr>
          <w:t xml:space="preserve">Соблюдение требований к охране окружающей среды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_Toc142924516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11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3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sz w:val="24"/>
          <w:szCs w:val="24"/>
        </w:rPr>
      </w:r>
      <w:hyperlink w:tooltip="#_Toc142924517" w:anchor="_Toc142924517" w:history="1">
        <w:r>
          <w:rPr>
            <w:rStyle w:val="974"/>
            <w:rFonts w:eastAsia="Calibri"/>
            <w:i/>
            <w:sz w:val="24"/>
            <w:szCs w:val="24"/>
            <w:highlight w:val="white"/>
          </w:rPr>
          <w:t xml:space="preserve">Соблюдение требований охраны труда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_Toc142924517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12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3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sz w:val="24"/>
          <w:szCs w:val="24"/>
        </w:rPr>
      </w:r>
      <w:hyperlink w:tooltip="#_Toc142924518" w:anchor="_Toc142924518" w:history="1">
        <w:r>
          <w:rPr>
            <w:rStyle w:val="974"/>
            <w:rFonts w:eastAsia="Calibri"/>
            <w:i/>
            <w:sz w:val="24"/>
            <w:szCs w:val="24"/>
            <w:highlight w:val="white"/>
          </w:rPr>
          <w:t xml:space="preserve">Общие требования к оформлению документации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_Toc142924518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13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2"/>
        <w:tabs>
          <w:tab w:val="left" w:pos="567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sz w:val="24"/>
          <w:szCs w:val="24"/>
        </w:rPr>
      </w:r>
      <w:hyperlink w:tooltip="#_Toc142924519" w:anchor="_Toc142924519" w:history="1">
        <w:r>
          <w:rPr>
            <w:rStyle w:val="974"/>
            <w:sz w:val="24"/>
            <w:szCs w:val="24"/>
            <w:highlight w:val="white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sz w:val="24"/>
            <w:szCs w:val="24"/>
          </w:rPr>
          <w:tab/>
        </w:r>
        <w:r>
          <w:rPr>
            <w:rStyle w:val="974"/>
            <w:sz w:val="24"/>
            <w:szCs w:val="24"/>
            <w:highlight w:val="white"/>
          </w:rPr>
          <w:t xml:space="preserve">Требования к документации по ценообразованию на этапе закупки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_Toc142924519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16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</w:p>
    <w:p>
      <w:pPr>
        <w:pStyle w:val="985"/>
        <w:tabs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>
        <w:rPr>
          <w:sz w:val="24"/>
          <w:szCs w:val="24"/>
        </w:rPr>
      </w:r>
      <w:hyperlink w:tooltip="#_Toc142924520" w:anchor="_Toc142924520" w:history="1">
        <w:r>
          <w:rPr>
            <w:rStyle w:val="974"/>
            <w:b/>
            <w:sz w:val="24"/>
            <w:szCs w:val="24"/>
            <w:highlight w:val="white"/>
          </w:rPr>
          <w:t xml:space="preserve">3.1.</w:t>
        </w:r>
        <w:r>
          <w:rPr>
            <w:rStyle w:val="974"/>
            <w:sz w:val="24"/>
            <w:szCs w:val="24"/>
            <w:highlight w:val="white"/>
          </w:rPr>
          <w:t xml:space="preserve"> 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_Toc142924520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16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85"/>
        <w:tabs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>
        <w:rPr>
          <w:sz w:val="24"/>
          <w:szCs w:val="24"/>
        </w:rPr>
      </w:r>
      <w:hyperlink w:tooltip="#_Toc142924521" w:anchor="_Toc142924521" w:history="1">
        <w:r>
          <w:rPr>
            <w:rStyle w:val="974"/>
            <w:b/>
            <w:sz w:val="24"/>
            <w:szCs w:val="24"/>
            <w:highlight w:val="white"/>
          </w:rPr>
          <w:t xml:space="preserve">3.2.</w:t>
        </w:r>
        <w:r>
          <w:rPr>
            <w:rStyle w:val="974"/>
            <w:sz w:val="24"/>
            <w:szCs w:val="24"/>
            <w:highlight w:val="white"/>
          </w:rPr>
          <w:t xml:space="preserve"> Дополнительные документы по ценообразованию (сметная документация) в состав заявки Участника не включаются.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_Toc142924521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16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2"/>
        <w:tabs>
          <w:tab w:val="left" w:pos="567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sz w:val="24"/>
          <w:szCs w:val="24"/>
        </w:rPr>
      </w:r>
      <w:hyperlink w:tooltip="#_Toc142924522" w:anchor="_Toc142924522" w:history="1">
        <w:r>
          <w:rPr>
            <w:rStyle w:val="974"/>
            <w:sz w:val="24"/>
            <w:szCs w:val="24"/>
            <w:highlight w:val="white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sz w:val="24"/>
            <w:szCs w:val="24"/>
          </w:rPr>
          <w:tab/>
        </w:r>
        <w:r>
          <w:rPr>
            <w:rStyle w:val="974"/>
            <w:sz w:val="24"/>
            <w:szCs w:val="24"/>
            <w:highlight w:val="white"/>
          </w:rPr>
          <w:t xml:space="preserve">Требования к документации по ценообразованию на этапе заключения (исполнения) договора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_Toc142924522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17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</w:p>
    <w:p>
      <w:pPr>
        <w:pStyle w:val="98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>
        <w:rPr>
          <w:sz w:val="24"/>
          <w:szCs w:val="24"/>
        </w:rPr>
      </w:r>
      <w:hyperlink w:tooltip="#_Toc142924523" w:anchor="_Toc142924523" w:history="1">
        <w:r>
          <w:rPr>
            <w:rStyle w:val="974"/>
            <w:b/>
            <w:iCs/>
            <w:sz w:val="24"/>
            <w:szCs w:val="24"/>
            <w:highlight w:val="white"/>
          </w:rPr>
          <w:t xml:space="preserve">4.1.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74"/>
            <w:sz w:val="24"/>
            <w:szCs w:val="24"/>
            <w:highlight w:val="white"/>
          </w:rPr>
          <w:t xml:space="preserve">Требования к составлению сметной документации (при заключении договора):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_Toc142924523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17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72"/>
        <w:tabs>
          <w:tab w:val="left" w:pos="567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pPr>
      <w:r>
        <w:rPr>
          <w:sz w:val="24"/>
          <w:szCs w:val="24"/>
        </w:rPr>
      </w:r>
      <w:hyperlink w:tooltip="#_Toc142924524" w:anchor="_Toc142924524" w:history="1">
        <w:r>
          <w:rPr>
            <w:rStyle w:val="974"/>
            <w:sz w:val="24"/>
            <w:szCs w:val="24"/>
            <w:highlight w:val="white"/>
          </w:rPr>
          <w:t xml:space="preserve">5.</w:t>
        </w:r>
        <w:r>
          <w:rPr>
            <w:rFonts w:asciiTheme="minorHAnsi" w:hAnsiTheme="minorHAnsi" w:eastAsiaTheme="minorEastAsia" w:cstheme="minorBidi"/>
            <w:b w:val="0"/>
            <w:bCs w:val="0"/>
            <w:sz w:val="24"/>
            <w:szCs w:val="24"/>
          </w:rPr>
          <w:tab/>
        </w:r>
        <w:r>
          <w:rPr>
            <w:rStyle w:val="974"/>
            <w:sz w:val="24"/>
            <w:szCs w:val="24"/>
            <w:highlight w:val="white"/>
          </w:rPr>
          <w:t xml:space="preserve">Приложения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_Toc142924524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18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</w:rPr>
      </w:r>
    </w:p>
    <w:p>
      <w:pPr>
        <w:pStyle w:val="773"/>
        <w:numPr>
          <w:ilvl w:val="0"/>
          <w:numId w:val="0"/>
        </w:numPr>
        <w:rPr>
          <w:highlight w:val="white"/>
        </w:rPr>
      </w:pPr>
      <w:r>
        <w:rPr>
          <w:highlight w:val="white"/>
        </w:rPr>
        <w:fldChar w:fldCharType="end"/>
      </w:r>
      <w:r>
        <w:rPr>
          <w:b/>
          <w:i/>
          <w:highlight w:val="white"/>
        </w:rPr>
        <w:br w:type="page" w:clear="all"/>
      </w:r>
      <w:r>
        <w:rPr>
          <w:highlight w:val="white"/>
        </w:rPr>
      </w:r>
      <w:r>
        <w:rPr>
          <w:highlight w:val="white"/>
        </w:rPr>
      </w:r>
    </w:p>
    <w:p>
      <w:pPr>
        <w:pStyle w:val="772"/>
        <w:ind w:left="0" w:firstLine="0"/>
        <w:jc w:val="left"/>
        <w:spacing w:before="0" w:beforeAutospacing="0" w:after="0" w:afterAutospacing="0"/>
        <w:rPr>
          <w:b/>
          <w:bCs/>
          <w:caps/>
          <w:sz w:val="24"/>
          <w:szCs w:val="24"/>
          <w:highlight w:val="white"/>
        </w:rPr>
        <w:suppressLineNumbers w:val="0"/>
      </w:pPr>
      <w:r>
        <w:rPr>
          <w:b/>
          <w:bCs/>
          <w:sz w:val="24"/>
          <w:szCs w:val="24"/>
        </w:rPr>
      </w:r>
      <w:bookmarkStart w:id="3" w:name="_Toc51339692"/>
      <w:r>
        <w:rPr>
          <w:b/>
          <w:bCs/>
          <w:sz w:val="24"/>
          <w:szCs w:val="24"/>
        </w:rPr>
      </w:r>
      <w:bookmarkStart w:id="4" w:name="_Toc129956730"/>
      <w:r>
        <w:rPr>
          <w:b/>
          <w:bCs/>
          <w:sz w:val="24"/>
          <w:szCs w:val="24"/>
        </w:rPr>
      </w:r>
      <w:bookmarkStart w:id="5" w:name="_Toc142924498"/>
      <w:r>
        <w:rPr>
          <w:b/>
          <w:bCs/>
          <w:sz w:val="24"/>
          <w:szCs w:val="24"/>
          <w:highlight w:val="white"/>
        </w:rPr>
        <w:t xml:space="preserve">Общие сведения</w:t>
      </w:r>
      <w:bookmarkEnd w:id="3"/>
      <w:r>
        <w:rPr>
          <w:b/>
          <w:bCs/>
          <w:sz w:val="24"/>
          <w:szCs w:val="24"/>
        </w:rPr>
      </w:r>
      <w:bookmarkEnd w:id="4"/>
      <w:r>
        <w:rPr>
          <w:b/>
          <w:bCs/>
          <w:sz w:val="24"/>
          <w:szCs w:val="24"/>
        </w:rPr>
      </w:r>
      <w:bookmarkEnd w:id="5"/>
      <w:r>
        <w:rPr>
          <w:b/>
          <w:bCs/>
          <w:caps/>
          <w:sz w:val="24"/>
          <w:szCs w:val="24"/>
          <w:highlight w:val="white"/>
        </w:rPr>
      </w:r>
      <w:r>
        <w:rPr>
          <w:b/>
          <w:bCs/>
          <w:caps/>
          <w:sz w:val="24"/>
          <w:szCs w:val="24"/>
          <w:highlight w:val="white"/>
        </w:rPr>
      </w:r>
    </w:p>
    <w:p>
      <w:r/>
      <w:r/>
    </w:p>
    <w:p>
      <w:pPr>
        <w:pStyle w:val="775"/>
        <w:spacing w:before="0" w:beforeAutospacing="0" w:after="0" w:afterAutospacing="0"/>
        <w:rPr>
          <w:rStyle w:val="1035"/>
          <w:b w:val="0"/>
          <w:i w:val="0"/>
          <w:sz w:val="24"/>
          <w:szCs w:val="24"/>
          <w:highlight w:val="white"/>
          <w:shd w:val="clear" w:color="auto" w:fill="auto"/>
        </w:rPr>
      </w:pPr>
      <w:r>
        <w:rPr>
          <w:sz w:val="24"/>
          <w:szCs w:val="24"/>
        </w:rPr>
      </w:r>
      <w:bookmarkStart w:id="6" w:name="_Toc46743505"/>
      <w:r>
        <w:rPr>
          <w:sz w:val="24"/>
          <w:szCs w:val="24"/>
        </w:rPr>
      </w:r>
      <w:bookmarkStart w:id="7" w:name="_Toc129956731"/>
      <w:r>
        <w:rPr>
          <w:sz w:val="24"/>
          <w:szCs w:val="24"/>
        </w:rPr>
      </w:r>
      <w:bookmarkStart w:id="8" w:name="_Toc142924499"/>
      <w:r>
        <w:rPr>
          <w:b/>
          <w:sz w:val="24"/>
          <w:szCs w:val="24"/>
          <w:highlight w:val="white"/>
        </w:rPr>
        <w:t xml:space="preserve">Обозначения и сокращения</w:t>
      </w:r>
      <w:bookmarkEnd w:id="6"/>
      <w:r>
        <w:rPr>
          <w:sz w:val="24"/>
          <w:szCs w:val="24"/>
        </w:rPr>
      </w:r>
      <w:bookmarkEnd w:id="7"/>
      <w:r>
        <w:rPr>
          <w:sz w:val="24"/>
          <w:szCs w:val="24"/>
        </w:rPr>
      </w:r>
      <w:bookmarkEnd w:id="8"/>
      <w:r>
        <w:rPr>
          <w:rStyle w:val="1035"/>
          <w:b w:val="0"/>
          <w:i w:val="0"/>
          <w:sz w:val="24"/>
          <w:szCs w:val="24"/>
          <w:highlight w:val="white"/>
          <w:shd w:val="clear" w:color="auto" w:fill="auto"/>
        </w:rPr>
      </w:r>
      <w:r>
        <w:rPr>
          <w:rStyle w:val="1035"/>
          <w:b w:val="0"/>
          <w:i w:val="0"/>
          <w:sz w:val="24"/>
          <w:szCs w:val="24"/>
          <w:highlight w:val="white"/>
          <w:shd w:val="clear" w:color="auto" w:fill="auto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773"/>
        <w:gridCol w:w="8010"/>
      </w:tblGrid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ГОСТ</w:t>
            </w:r>
            <w:r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r>
            <w:r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Государственный стандарт;</w:t>
            </w:r>
            <w:r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r>
            <w:r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КС-2</w:t>
            </w:r>
            <w:r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r>
            <w:r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акт о приемке выполненных работ (форма № КС-2);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КС-3</w:t>
            </w:r>
            <w:r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r>
            <w:r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справка о стоимости выполненных работ и затрат (форма № КС-3);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КС-6а</w:t>
            </w:r>
            <w:r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r>
            <w:r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Журнал учета выполненных работ (форма № КС-6а);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НТД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Нормативно-техническая документация;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МТР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Материально-технические ресурсы;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АО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Акционерное общество;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ППР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Проект производства работ;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ПТБ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правила техники безопасности;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ПУЭ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Правила устройства электроустановок;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СМР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Строительно-монтажные работы;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СНиП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строительные нормы и правила;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СП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Свод правил;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ТЗ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Техническое задание;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Технические требования;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ТУ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Технические условия;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ЛНА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Локальный нормативный акт;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73" w:type="dxa"/>
            <w:vAlign w:val="center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pdf</w:t>
            </w:r>
            <w:r>
              <w:rPr>
                <w:sz w:val="24"/>
                <w:szCs w:val="24"/>
                <w:highlight w:val="white"/>
              </w:rPr>
              <w:t xml:space="preserve"> – </w:t>
            </w:r>
            <w:r>
              <w:rPr>
                <w:sz w:val="24"/>
                <w:szCs w:val="24"/>
                <w:highlight w:val="white"/>
              </w:rPr>
              <w:t xml:space="preserve">portable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document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format</w:t>
            </w:r>
            <w:r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r>
            <w:r>
              <w:rPr>
                <w:rStyle w:val="1035"/>
                <w:b w:val="0"/>
                <w:bCs/>
                <w:iCs/>
                <w:sz w:val="24"/>
                <w:szCs w:val="24"/>
                <w:highlight w:val="white"/>
              </w:rPr>
            </w:r>
          </w:p>
        </w:tc>
        <w:tc>
          <w:tcPr>
            <w:tcW w:w="8010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формат файла электронного документа.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keepLines/>
        <w:keepNext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br w:type="page" w:clear="all"/>
      </w:r>
      <w:bookmarkStart w:id="9" w:name="_Toc46743506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775"/>
        <w:spacing w:before="0" w:beforeAutospacing="0" w:after="0" w:afterAutospacing="0"/>
        <w:rPr>
          <w:b/>
          <w:highlight w:val="white"/>
        </w:rPr>
      </w:pPr>
      <w:r/>
      <w:bookmarkStart w:id="10" w:name="_Toc129956732"/>
      <w:r/>
      <w:bookmarkStart w:id="11" w:name="_Toc142924500"/>
      <w:r>
        <w:rPr>
          <w:b/>
          <w:highlight w:val="white"/>
        </w:rPr>
        <w:t xml:space="preserve">Наименование закупаемой продукции</w:t>
      </w:r>
      <w:bookmarkEnd w:id="9"/>
      <w:r>
        <w:rPr>
          <w:b/>
          <w:highlight w:val="white"/>
        </w:rPr>
        <w:t xml:space="preserve">.</w:t>
      </w:r>
      <w:bookmarkEnd w:id="10"/>
      <w:r/>
      <w:bookmarkEnd w:id="11"/>
      <w:r>
        <w:rPr>
          <w:b/>
        </w:rPr>
        <w:t xml:space="preserve"> 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jc w:val="both"/>
        <w:spacing w:before="0" w:beforeAutospacing="0" w:after="0" w:afterAutospacing="0"/>
        <w:widowControl w:val="off"/>
        <w:tabs>
          <w:tab w:val="left" w:pos="426" w:leader="none"/>
          <w:tab w:val="left" w:pos="3686" w:leader="none"/>
        </w:tabs>
        <w:rPr>
          <w:bCs/>
          <w:i/>
          <w:sz w:val="24"/>
          <w:szCs w:val="24"/>
          <w:highlight w:val="none"/>
        </w:rPr>
      </w:pPr>
      <w:r/>
      <w:bookmarkStart w:id="12" w:name="_Toc46743507"/>
      <w:r>
        <w:rPr>
          <w:rFonts w:eastAsia="Calibri"/>
          <w:i w:val="0"/>
          <w:iCs w:val="0"/>
          <w:sz w:val="24"/>
          <w:szCs w:val="24"/>
        </w:rPr>
        <w:t xml:space="preserve">Выполнение работ по покрытию кабельных трасс огнезащитным составом электрического цеха Нерюнгринской ГРЭС, г. Нерюнгри пос. Серебряный Бор</w:t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jc w:val="both"/>
        <w:spacing w:before="0" w:beforeAutospacing="0" w:after="0" w:afterAutospacing="0"/>
        <w:widowControl w:val="off"/>
        <w:tabs>
          <w:tab w:val="left" w:pos="426" w:leader="none"/>
          <w:tab w:val="left" w:pos="3686" w:leader="none"/>
        </w:tabs>
        <w:rPr>
          <w:bCs/>
          <w:i/>
          <w:sz w:val="24"/>
          <w:szCs w:val="24"/>
          <w:highlight w:val="whit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</w:p>
    <w:p>
      <w:pPr>
        <w:pStyle w:val="775"/>
        <w:spacing w:before="0" w:beforeAutospacing="0" w:after="0" w:afterAutospacing="0"/>
        <w:rPr>
          <w:b/>
          <w:highlight w:val="white"/>
        </w:rPr>
      </w:pPr>
      <w:r/>
      <w:bookmarkStart w:id="13" w:name="_Toc129956733"/>
      <w:r/>
      <w:bookmarkStart w:id="14" w:name="_Toc142924501"/>
      <w:r>
        <w:rPr>
          <w:b/>
          <w:highlight w:val="white"/>
        </w:rPr>
        <w:t xml:space="preserve">Цель использования закупаемой продукции</w:t>
      </w:r>
      <w:bookmarkEnd w:id="12"/>
      <w:r/>
      <w:bookmarkEnd w:id="13"/>
      <w:r/>
      <w:bookmarkEnd w:id="14"/>
      <w:r>
        <w:rPr>
          <w:b/>
          <w:highlight w:val="white"/>
        </w:rPr>
        <w:t xml:space="preserve"> 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jc w:val="both"/>
        <w:spacing w:before="0" w:beforeAutospacing="0" w:after="0" w:afterAutospacing="0"/>
        <w:rPr>
          <w:rFonts w:eastAsia="Calibri"/>
          <w:i w:val="0"/>
          <w:iCs w:val="0"/>
          <w:sz w:val="24"/>
          <w:szCs w:val="24"/>
          <w:highlight w:val="none"/>
        </w:rPr>
      </w:pPr>
      <w:r>
        <w:rPr>
          <w:rFonts w:eastAsia="Calibri"/>
          <w:i w:val="0"/>
          <w:iCs w:val="0"/>
          <w:sz w:val="24"/>
          <w:szCs w:val="24"/>
        </w:rPr>
        <w:t xml:space="preserve">Покрытие кабельных трасс огне</w:t>
      </w:r>
      <w:r>
        <w:rPr>
          <w:rFonts w:eastAsia="Calibri"/>
          <w:i w:val="0"/>
          <w:iCs w:val="0"/>
          <w:sz w:val="24"/>
          <w:szCs w:val="24"/>
        </w:rPr>
        <w:t xml:space="preserve">защитным составом проводится с целью ограничения распространения огня по кабельным линиям, имеющим сгораемую изоляцию, соблюдения правил пожарной безопасности для энергетических предприятий, соблюдения правил технической эксплуатации и безаварийной работы.</w:t>
      </w:r>
      <w:r>
        <w:rPr>
          <w:rFonts w:eastAsia="Calibri"/>
          <w:i w:val="0"/>
          <w:iCs w:val="0"/>
          <w:sz w:val="24"/>
          <w:szCs w:val="24"/>
          <w:highlight w:val="none"/>
        </w:rPr>
      </w:r>
      <w:r>
        <w:rPr>
          <w:rFonts w:eastAsia="Calibri"/>
          <w:i w:val="0"/>
          <w:iCs w:val="0"/>
          <w:sz w:val="24"/>
          <w:szCs w:val="24"/>
          <w:highlight w:val="none"/>
        </w:rPr>
      </w:r>
    </w:p>
    <w:p>
      <w:pPr>
        <w:jc w:val="both"/>
        <w:spacing w:before="0" w:beforeAutospacing="0" w:after="0" w:afterAutospacing="0"/>
        <w:rPr>
          <w:rFonts w:eastAsia="Calibri"/>
          <w:bCs w:val="0"/>
          <w:i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highlight w:val="none"/>
        </w:rPr>
      </w:r>
      <w:r>
        <w:rPr>
          <w:rFonts w:eastAsia="Calibri"/>
          <w:bCs w:val="0"/>
          <w:i w:val="0"/>
          <w:sz w:val="24"/>
          <w:szCs w:val="24"/>
        </w:rPr>
      </w:r>
      <w:r>
        <w:rPr>
          <w:rFonts w:eastAsia="Calibri"/>
          <w:bCs w:val="0"/>
          <w:i w:val="0"/>
          <w:sz w:val="24"/>
          <w:szCs w:val="24"/>
        </w:rPr>
      </w:r>
    </w:p>
    <w:p>
      <w:pPr>
        <w:pStyle w:val="772"/>
        <w:numPr>
          <w:ilvl w:val="0"/>
          <w:numId w:val="0"/>
        </w:numPr>
        <w:jc w:val="left"/>
        <w:spacing w:before="0" w:beforeAutospacing="0" w:after="0" w:afterAutospacing="0"/>
        <w:rPr>
          <w:b/>
          <w:highlight w:val="white"/>
        </w:rPr>
      </w:pPr>
      <w:r/>
      <w:bookmarkStart w:id="15" w:name="_Toc129956735"/>
      <w:r/>
      <w:bookmarkStart w:id="16" w:name="_Toc142924503"/>
      <w:r>
        <w:rPr>
          <w:b/>
          <w:sz w:val="24"/>
          <w:highlight w:val="white"/>
        </w:rPr>
        <w:t xml:space="preserve">Таблица 1. Перечень объектов заказчика</w:t>
      </w:r>
      <w:bookmarkEnd w:id="15"/>
      <w:r/>
      <w:bookmarkEnd w:id="16"/>
      <w:r>
        <w:rPr>
          <w:b/>
          <w:highlight w:val="white"/>
        </w:rPr>
      </w:r>
      <w:r>
        <w:rPr>
          <w:b/>
          <w:highlight w:val="white"/>
        </w:rPr>
      </w:r>
    </w:p>
    <w:tbl>
      <w:tblPr>
        <w:tblW w:w="99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3119"/>
        <w:gridCol w:w="2835"/>
        <w:gridCol w:w="1557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  <w:t xml:space="preserve">(место производства работ)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55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881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004"/>
              <w:numPr>
                <w:ilvl w:val="0"/>
                <w:numId w:val="31"/>
              </w:numPr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Покрытие кабельных трасс </w:t>
            </w:r>
            <w:r>
              <w:rPr>
                <w:i/>
                <w:sz w:val="22"/>
                <w:szCs w:val="22"/>
              </w:rPr>
              <w:t xml:space="preserve">электрического цеха </w:t>
            </w:r>
            <w:r>
              <w:rPr>
                <w:i/>
                <w:sz w:val="22"/>
                <w:szCs w:val="22"/>
              </w:rPr>
              <w:t xml:space="preserve">Нерюнгринской ГРЭС</w:t>
            </w:r>
            <w:r>
              <w:rPr>
                <w:i/>
                <w:sz w:val="22"/>
                <w:szCs w:val="22"/>
              </w:rPr>
              <w:t xml:space="preserve"> огнезащитным составом 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shd w:val="clear" w:color="auto" w:fill="auto"/>
            <w:tcW w:w="3119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Российская Федерация</w:t>
            </w:r>
            <w:r>
              <w:rPr>
                <w:i/>
                <w:sz w:val="22"/>
                <w:szCs w:val="22"/>
              </w:rPr>
              <w:t xml:space="preserve">, Республика Саха (Якутия), </w:t>
            </w:r>
            <w:r>
              <w:rPr>
                <w:i/>
                <w:sz w:val="22"/>
                <w:szCs w:val="22"/>
              </w:rPr>
              <w:t xml:space="preserve">Нерюнгринский</w:t>
            </w:r>
            <w:r>
              <w:rPr>
                <w:i/>
                <w:sz w:val="22"/>
                <w:szCs w:val="22"/>
              </w:rPr>
              <w:t xml:space="preserve"> район, п. Серебряный Бор, Нерюнгринская ГРЭС.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Кабельные трассы </w:t>
            </w:r>
            <w:r>
              <w:rPr>
                <w:i/>
                <w:iCs/>
                <w:sz w:val="22"/>
                <w:szCs w:val="22"/>
              </w:rPr>
              <w:t xml:space="preserve">котло</w:t>
            </w:r>
            <w:r>
              <w:rPr>
                <w:i/>
                <w:iCs/>
                <w:sz w:val="22"/>
                <w:szCs w:val="22"/>
              </w:rPr>
              <w:t xml:space="preserve">агрегата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jc w:val="center"/>
              <w:rPr>
                <w:i/>
                <w:iCs/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2"/>
                <w:szCs w:val="22"/>
              </w:rPr>
              <w:t xml:space="preserve">ТПЕ-214 блок №2                                       (</w:t>
            </w:r>
            <w:r>
              <w:rPr>
                <w:i/>
                <w:iCs/>
                <w:sz w:val="22"/>
                <w:szCs w:val="22"/>
              </w:rPr>
              <w:t xml:space="preserve">отм</w:t>
            </w:r>
            <w:r>
              <w:rPr>
                <w:i/>
                <w:iCs/>
                <w:sz w:val="22"/>
                <w:szCs w:val="22"/>
              </w:rPr>
              <w:t xml:space="preserve">. 5,4;  </w:t>
            </w:r>
            <w:r>
              <w:rPr>
                <w:i/>
                <w:iCs/>
                <w:sz w:val="22"/>
                <w:szCs w:val="22"/>
              </w:rPr>
              <w:t xml:space="preserve">отм</w:t>
            </w:r>
            <w:r>
              <w:rPr>
                <w:i/>
                <w:iCs/>
                <w:sz w:val="22"/>
                <w:szCs w:val="22"/>
              </w:rPr>
              <w:t xml:space="preserve">. 15-22 ось 7-8 ряд Б-В)</w:t>
            </w:r>
            <w:r>
              <w:rPr>
                <w:i/>
                <w:iCs/>
                <w:sz w:val="22"/>
                <w:szCs w:val="22"/>
              </w:rPr>
              <w:t xml:space="preserve">                     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(инв. № НО400009)</w:t>
            </w:r>
            <w:r>
              <w:rPr>
                <w:i/>
                <w:iCs/>
                <w:sz w:val="22"/>
                <w:szCs w:val="22"/>
                <w:highlight w:val="white"/>
              </w:rPr>
            </w:r>
            <w:r>
              <w:rPr>
                <w:i/>
                <w:iCs/>
                <w:sz w:val="22"/>
                <w:szCs w:val="22"/>
                <w:highlight w:val="white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</w:rPr>
            </w:pPr>
            <w:r>
              <w:rPr>
                <w:i/>
                <w:iCs/>
                <w:sz w:val="22"/>
                <w:szCs w:val="22"/>
              </w:rPr>
              <w:t xml:space="preserve">Кабельные </w:t>
            </w:r>
            <w:r>
              <w:rPr>
                <w:i/>
                <w:iCs/>
                <w:sz w:val="22"/>
                <w:szCs w:val="22"/>
              </w:rPr>
              <w:t xml:space="preserve">короба на </w:t>
            </w:r>
            <w:r>
              <w:rPr>
                <w:i/>
                <w:iCs/>
                <w:sz w:val="22"/>
                <w:szCs w:val="22"/>
              </w:rPr>
              <w:t xml:space="preserve">отм</w:t>
            </w:r>
            <w:r>
              <w:rPr>
                <w:i/>
                <w:iCs/>
                <w:sz w:val="22"/>
                <w:szCs w:val="22"/>
              </w:rPr>
              <w:t xml:space="preserve">. 3,6; отм.15 ось 02-06 ряд </w:t>
            </w:r>
            <w:r>
              <w:rPr>
                <w:i/>
                <w:iCs/>
                <w:sz w:val="22"/>
                <w:szCs w:val="22"/>
              </w:rPr>
              <w:t xml:space="preserve">Г-Д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 xml:space="preserve">                                          </w:t>
            </w:r>
            <w:r>
              <w:rPr>
                <w:b w:val="0"/>
                <w:bCs w:val="0"/>
                <w:i/>
                <w:iCs/>
                <w:sz w:val="22"/>
                <w:szCs w:val="22"/>
                <w:highlight w:val="white"/>
                <w:u w:val="single"/>
              </w:rPr>
              <w:t xml:space="preserve">(инв. № НО400009)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</w:r>
          </w:p>
        </w:tc>
        <w:tc>
          <w:tcPr>
            <w:shd w:val="clear" w:color="auto" w:fill="auto"/>
            <w:tcW w:w="1557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</w:tr>
    </w:tbl>
    <w:p>
      <w:pPr>
        <w:pStyle w:val="772"/>
        <w:numPr>
          <w:ilvl w:val="0"/>
          <w:numId w:val="0"/>
        </w:numPr>
        <w:ind w:left="0" w:firstLine="0"/>
        <w:spacing w:before="0" w:beforeAutospacing="0" w:after="0" w:afterAutospacing="0"/>
        <w:rPr>
          <w:rStyle w:val="1035"/>
          <w:b w:val="0"/>
          <w:bCs w:val="0"/>
          <w:sz w:val="24"/>
          <w:szCs w:val="24"/>
          <w:highlight w:val="white"/>
        </w:rPr>
      </w:pPr>
      <w:r>
        <w:rPr>
          <w:rStyle w:val="1035"/>
          <w:b w:val="0"/>
          <w:sz w:val="24"/>
          <w:szCs w:val="24"/>
          <w:highlight w:val="none"/>
        </w:rPr>
      </w:r>
      <w:r>
        <w:rPr>
          <w:rStyle w:val="1035"/>
          <w:b w:val="0"/>
          <w:bCs w:val="0"/>
          <w:sz w:val="24"/>
          <w:szCs w:val="24"/>
          <w:highlight w:val="white"/>
        </w:rPr>
      </w:r>
      <w:r>
        <w:rPr>
          <w:rStyle w:val="1035"/>
          <w:b w:val="0"/>
          <w:bCs w:val="0"/>
          <w:sz w:val="24"/>
          <w:szCs w:val="24"/>
          <w:highlight w:val="white"/>
        </w:rPr>
      </w:r>
    </w:p>
    <w:p>
      <w:pPr>
        <w:pStyle w:val="775"/>
        <w:ind w:left="0" w:firstLine="0"/>
        <w:spacing w:before="0" w:after="0"/>
        <w:rPr>
          <w:rStyle w:val="1035"/>
          <w:b w:val="0"/>
          <w:highlight w:val="white"/>
        </w:rPr>
      </w:pPr>
      <w:r/>
      <w:bookmarkStart w:id="19" w:name="_Toc129956736"/>
      <w:r/>
      <w:bookmarkStart w:id="20" w:name="_Toc142924504"/>
      <w:r>
        <w:rPr>
          <w:b/>
          <w:highlight w:val="white"/>
        </w:rPr>
        <w:t xml:space="preserve">Информация в отношении исполнения договора, </w:t>
      </w:r>
      <w:bookmarkStart w:id="21" w:name="_Hlk46492347"/>
      <w:r>
        <w:rPr>
          <w:b/>
          <w:highlight w:val="white"/>
        </w:rPr>
        <w:t xml:space="preserve">которая должна быть учтена при подготовке заявки </w:t>
      </w:r>
      <w:bookmarkEnd w:id="21"/>
      <w:r>
        <w:rPr>
          <w:b/>
          <w:highlight w:val="white"/>
        </w:rPr>
        <w:t xml:space="preserve">(в том числе перечень ресурсов, услуг и документов, предоставляемых заказчиком на этапе исполнения договора)</w:t>
      </w:r>
      <w:bookmarkStart w:id="22" w:name="_Hlk48209761"/>
      <w:r/>
      <w:bookmarkEnd w:id="19"/>
      <w:r/>
      <w:bookmarkEnd w:id="20"/>
      <w:r>
        <w:rPr>
          <w:rStyle w:val="1035"/>
          <w:b w:val="0"/>
          <w:highlight w:val="white"/>
        </w:rPr>
      </w:r>
      <w:r>
        <w:rPr>
          <w:rStyle w:val="1035"/>
          <w:b w:val="0"/>
          <w:highlight w:val="white"/>
        </w:rPr>
      </w:r>
    </w:p>
    <w:p>
      <w:pPr>
        <w:pStyle w:val="998"/>
        <w:jc w:val="both"/>
        <w:spacing w:line="240" w:lineRule="auto"/>
      </w:pPr>
      <w:r>
        <w:t xml:space="preserve">Заказчик предоставит подрядчику:</w:t>
      </w:r>
      <w:r/>
    </w:p>
    <w:p>
      <w:pPr>
        <w:jc w:val="both"/>
        <w:widowControl w:val="off"/>
        <w:tabs>
          <w:tab w:val="left" w:pos="426" w:leader="none"/>
        </w:tabs>
        <w:rPr>
          <w:rFonts w:eastAsia="Calibri"/>
          <w:b/>
          <w:bCs/>
        </w:rPr>
      </w:pPr>
      <w:r>
        <w:rPr>
          <w:sz w:val="24"/>
        </w:rPr>
        <w:t xml:space="preserve">1)</w:t>
      </w:r>
      <w:r>
        <w:rPr>
          <w:sz w:val="24"/>
        </w:rPr>
        <w:tab/>
        <w:t xml:space="preserve">Электроэнергия, при получении технических условий на временное присоединение (на период выполнения ремонтных работ подрядной организацией).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both"/>
        <w:tabs>
          <w:tab w:val="left" w:pos="284" w:leader="none"/>
        </w:tabs>
        <w:rPr>
          <w:i/>
          <w:sz w:val="24"/>
          <w:szCs w:val="24"/>
          <w:highlight w:val="white"/>
        </w:rPr>
      </w:pPr>
      <w:r>
        <w:rPr>
          <w:i/>
          <w:sz w:val="24"/>
          <w:szCs w:val="24"/>
          <w:highlight w:val="white"/>
        </w:rPr>
      </w:r>
      <w:r>
        <w:rPr>
          <w:i/>
          <w:sz w:val="24"/>
          <w:szCs w:val="24"/>
          <w:highlight w:val="white"/>
        </w:rPr>
      </w:r>
      <w:r>
        <w:rPr>
          <w:i/>
          <w:sz w:val="24"/>
          <w:szCs w:val="24"/>
          <w:highlight w:val="white"/>
        </w:rPr>
      </w:r>
    </w:p>
    <w:p>
      <w:pPr>
        <w:pStyle w:val="772"/>
        <w:ind w:left="0" w:firstLine="0"/>
        <w:jc w:val="left"/>
        <w:spacing w:before="0" w:beforeAutospacing="0" w:after="0" w:afterAutospacing="0"/>
        <w:rPr>
          <w:b/>
          <w:caps/>
          <w:sz w:val="24"/>
          <w:szCs w:val="24"/>
          <w:highlight w:val="white"/>
        </w:rPr>
      </w:pPr>
      <w:r>
        <w:rPr>
          <w:sz w:val="24"/>
          <w:szCs w:val="24"/>
        </w:rPr>
      </w:r>
      <w:bookmarkStart w:id="23" w:name="_Toc51339693"/>
      <w:r>
        <w:rPr>
          <w:sz w:val="24"/>
          <w:szCs w:val="24"/>
        </w:rPr>
      </w:r>
      <w:bookmarkStart w:id="24" w:name="_Toc129956738"/>
      <w:r>
        <w:rPr>
          <w:sz w:val="24"/>
          <w:szCs w:val="24"/>
        </w:rPr>
      </w:r>
      <w:bookmarkStart w:id="25" w:name="_Toc142924506"/>
      <w:r>
        <w:rPr>
          <w:sz w:val="24"/>
          <w:szCs w:val="24"/>
        </w:rPr>
      </w:r>
      <w:bookmarkStart w:id="26" w:name="_Toc50125126"/>
      <w:r>
        <w:rPr>
          <w:sz w:val="24"/>
          <w:szCs w:val="24"/>
        </w:rPr>
      </w:r>
      <w:bookmarkStart w:id="27" w:name="_Toc46743510"/>
      <w:r>
        <w:rPr>
          <w:sz w:val="24"/>
          <w:szCs w:val="24"/>
        </w:rPr>
      </w:r>
      <w:bookmarkEnd w:id="22"/>
      <w:r>
        <w:rPr>
          <w:b/>
          <w:sz w:val="24"/>
          <w:szCs w:val="24"/>
          <w:highlight w:val="white"/>
        </w:rPr>
        <w:t xml:space="preserve">Требования к продукции</w:t>
      </w:r>
      <w:bookmarkEnd w:id="23"/>
      <w:r>
        <w:rPr>
          <w:sz w:val="24"/>
          <w:szCs w:val="24"/>
        </w:rPr>
      </w:r>
      <w:bookmarkEnd w:id="24"/>
      <w:r>
        <w:rPr>
          <w:sz w:val="24"/>
          <w:szCs w:val="24"/>
        </w:rPr>
      </w:r>
      <w:bookmarkEnd w:id="25"/>
      <w:r>
        <w:rPr>
          <w:b/>
          <w:caps/>
          <w:sz w:val="24"/>
          <w:szCs w:val="24"/>
          <w:highlight w:val="white"/>
        </w:rPr>
      </w:r>
      <w:r>
        <w:rPr>
          <w:b/>
          <w:caps/>
          <w:sz w:val="24"/>
          <w:szCs w:val="24"/>
          <w:highlight w:val="white"/>
        </w:rPr>
      </w:r>
    </w:p>
    <w:p>
      <w:r/>
      <w:r/>
    </w:p>
    <w:p>
      <w:pPr>
        <w:pStyle w:val="775"/>
        <w:spacing w:before="0" w:beforeAutospacing="0" w:after="0" w:afterAutospacing="0"/>
        <w:rPr>
          <w:b/>
          <w:sz w:val="24"/>
          <w:szCs w:val="24"/>
          <w:highlight w:val="white"/>
        </w:rPr>
      </w:pPr>
      <w:r>
        <w:rPr>
          <w:sz w:val="24"/>
          <w:szCs w:val="24"/>
        </w:rPr>
      </w:r>
      <w:bookmarkStart w:id="28" w:name="_Toc129956739"/>
      <w:r>
        <w:rPr>
          <w:sz w:val="24"/>
          <w:szCs w:val="24"/>
        </w:rPr>
      </w:r>
      <w:bookmarkStart w:id="29" w:name="_Toc142924507"/>
      <w:r>
        <w:rPr>
          <w:b/>
          <w:sz w:val="24"/>
          <w:szCs w:val="24"/>
          <w:highlight w:val="white"/>
        </w:rPr>
        <w:t xml:space="preserve">Требования по объемам и срокам выполнения работ</w:t>
      </w:r>
      <w:bookmarkEnd w:id="28"/>
      <w:r>
        <w:rPr>
          <w:sz w:val="24"/>
          <w:szCs w:val="24"/>
        </w:rPr>
      </w:r>
      <w:bookmarkEnd w:id="29"/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774"/>
        <w:spacing w:before="0" w:beforeAutospacing="0" w:after="0" w:afterAutospacing="0"/>
        <w:rPr>
          <w:b/>
          <w:sz w:val="24"/>
          <w:szCs w:val="24"/>
          <w:highlight w:val="white"/>
        </w:rPr>
      </w:pPr>
      <w:r>
        <w:rPr>
          <w:sz w:val="24"/>
          <w:szCs w:val="24"/>
        </w:rPr>
      </w:r>
      <w:bookmarkStart w:id="30" w:name="_Toc129956740"/>
      <w:r>
        <w:rPr>
          <w:sz w:val="24"/>
          <w:szCs w:val="24"/>
        </w:rPr>
      </w:r>
      <w:bookmarkStart w:id="31" w:name="_Toc142924508"/>
      <w:r>
        <w:rPr>
          <w:b/>
          <w:sz w:val="24"/>
          <w:szCs w:val="24"/>
          <w:highlight w:val="white"/>
        </w:rPr>
        <w:t xml:space="preserve">Требования к видам и объемам работ</w:t>
      </w:r>
      <w:bookmarkEnd w:id="30"/>
      <w:r>
        <w:rPr>
          <w:sz w:val="24"/>
          <w:szCs w:val="24"/>
        </w:rPr>
      </w:r>
      <w:bookmarkEnd w:id="31"/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r/>
      <w:r/>
    </w:p>
    <w:p>
      <w:pPr>
        <w:pStyle w:val="772"/>
        <w:numPr>
          <w:ilvl w:val="0"/>
          <w:numId w:val="0"/>
        </w:numPr>
        <w:spacing w:before="0" w:beforeAutospacing="0" w:after="0" w:afterAutospacing="0"/>
        <w:rPr>
          <w:b/>
          <w:sz w:val="24"/>
          <w:szCs w:val="24"/>
          <w:highlight w:val="white"/>
        </w:rPr>
      </w:pPr>
      <w:r>
        <w:rPr>
          <w:sz w:val="24"/>
          <w:szCs w:val="24"/>
        </w:rPr>
      </w:r>
      <w:bookmarkStart w:id="32" w:name="_Toc51339695"/>
      <w:r>
        <w:rPr>
          <w:sz w:val="24"/>
          <w:szCs w:val="24"/>
        </w:rPr>
      </w:r>
      <w:bookmarkStart w:id="33" w:name="_Toc129956741"/>
      <w:r>
        <w:rPr>
          <w:sz w:val="24"/>
          <w:szCs w:val="24"/>
        </w:rPr>
      </w:r>
      <w:bookmarkStart w:id="34" w:name="_Toc142924509"/>
      <w:r>
        <w:rPr>
          <w:b/>
          <w:sz w:val="24"/>
          <w:szCs w:val="24"/>
          <w:highlight w:val="white"/>
        </w:rPr>
        <w:t xml:space="preserve">Таблица 2. Перечень и объем </w:t>
      </w:r>
      <w:bookmarkEnd w:id="32"/>
      <w:r>
        <w:rPr>
          <w:b/>
          <w:sz w:val="24"/>
          <w:szCs w:val="24"/>
          <w:highlight w:val="white"/>
        </w:rPr>
        <w:t xml:space="preserve">выполняемых работ</w:t>
      </w:r>
      <w:bookmarkEnd w:id="33"/>
      <w:r>
        <w:rPr>
          <w:sz w:val="24"/>
          <w:szCs w:val="24"/>
        </w:rPr>
      </w:r>
      <w:bookmarkEnd w:id="34"/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tbl>
      <w:tblPr>
        <w:tblW w:w="99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529"/>
        <w:gridCol w:w="1771"/>
        <w:gridCol w:w="1771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№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center"/>
              <w:keepNext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/п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Наименование работ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771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Единица измерения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771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Количество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177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177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1004"/>
              <w:numPr>
                <w:ilvl w:val="0"/>
                <w:numId w:val="8"/>
              </w:num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rPr>
                <w:i/>
                <w:sz w:val="24"/>
                <w:szCs w:val="24"/>
                <w:highlight w:val="white"/>
              </w:rPr>
            </w:pPr>
            <w:r>
              <w:rPr>
                <w:i/>
                <w:sz w:val="24"/>
                <w:szCs w:val="24"/>
              </w:rPr>
              <w:t xml:space="preserve">Покрытие кабельных трасс огнезащитным составом электрического цеха Нерюнгринской ГРЭС</w:t>
            </w:r>
            <w:r>
              <w:rPr>
                <w:i/>
                <w:sz w:val="24"/>
                <w:szCs w:val="24"/>
                <w:highlight w:val="white"/>
              </w:rPr>
            </w:r>
            <w:r>
              <w:rPr>
                <w:i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54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  <w:highlight w:val="white"/>
              </w:rPr>
            </w:pPr>
            <w:r>
              <w:rPr>
                <w:i/>
                <w:sz w:val="24"/>
                <w:szCs w:val="24"/>
                <w:highlight w:val="white"/>
              </w:rPr>
              <w:t xml:space="preserve">в соответствии с ведомостью объемов работ (Приложение №1 к настоящим Техническим требованиям).</w:t>
            </w:r>
            <w:r>
              <w:rPr>
                <w:i/>
                <w:sz w:val="24"/>
                <w:szCs w:val="24"/>
                <w:highlight w:val="white"/>
              </w:rPr>
            </w:r>
            <w:r>
              <w:rPr>
                <w:i/>
                <w:sz w:val="24"/>
                <w:szCs w:val="24"/>
                <w:highlight w:val="white"/>
              </w:rPr>
            </w:r>
          </w:p>
        </w:tc>
      </w:tr>
    </w:tbl>
    <w:p>
      <w:pPr>
        <w:pStyle w:val="772"/>
        <w:numPr>
          <w:ilvl w:val="0"/>
          <w:numId w:val="0"/>
        </w:numPr>
        <w:ind w:left="5038" w:firstLine="0"/>
        <w:spacing w:before="0" w:beforeAutospacing="0" w:after="0" w:afterAutospacing="0"/>
        <w:rPr>
          <w:b/>
          <w:bCs/>
          <w:sz w:val="24"/>
          <w:szCs w:val="24"/>
          <w:highlight w:val="whit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774"/>
        <w:spacing w:before="0" w:beforeAutospacing="0" w:after="0" w:afterAutospacing="0"/>
        <w:rPr>
          <w:b/>
          <w:highlight w:val="white"/>
        </w:rPr>
      </w:pPr>
      <w:r/>
      <w:bookmarkStart w:id="36" w:name="_Toc51339696"/>
      <w:r/>
      <w:bookmarkStart w:id="37" w:name="_Toc129956742"/>
      <w:r/>
      <w:bookmarkStart w:id="38" w:name="_Toc142924510"/>
      <w:r>
        <w:rPr>
          <w:b/>
          <w:highlight w:val="white"/>
        </w:rPr>
        <w:t xml:space="preserve">Требования </w:t>
      </w:r>
      <w:bookmarkEnd w:id="36"/>
      <w:r>
        <w:rPr>
          <w:b/>
          <w:highlight w:val="white"/>
        </w:rPr>
        <w:t xml:space="preserve">к срокам выполнения работ</w:t>
      </w:r>
      <w:bookmarkEnd w:id="37"/>
      <w:r/>
      <w:bookmarkEnd w:id="38"/>
      <w:r>
        <w:rPr>
          <w:b/>
          <w:highlight w:val="white"/>
        </w:rPr>
      </w:r>
      <w:r>
        <w:rPr>
          <w:b/>
          <w:highlight w:val="white"/>
        </w:rPr>
      </w:r>
    </w:p>
    <w:p>
      <w:r/>
      <w:r/>
    </w:p>
    <w:p>
      <w:r/>
      <w:r/>
    </w:p>
    <w:p>
      <w:r/>
      <w:r/>
    </w:p>
    <w:p>
      <w:pPr>
        <w:pStyle w:val="772"/>
        <w:numPr>
          <w:ilvl w:val="0"/>
          <w:numId w:val="0"/>
        </w:numPr>
        <w:spacing w:before="0" w:beforeAutospacing="0" w:after="0" w:afterAutospacing="0"/>
        <w:rPr>
          <w:rStyle w:val="1035"/>
          <w:b w:val="0"/>
          <w:i w:val="0"/>
          <w:sz w:val="20"/>
          <w:szCs w:val="20"/>
          <w:highlight w:val="white"/>
          <w:shd w:val="clear" w:color="auto" w:fill="auto"/>
        </w:rPr>
      </w:pPr>
      <w:r>
        <w:rPr>
          <w:sz w:val="24"/>
          <w:szCs w:val="24"/>
        </w:rPr>
      </w:r>
      <w:bookmarkStart w:id="39" w:name="_Toc50125127"/>
      <w:r>
        <w:rPr>
          <w:sz w:val="24"/>
          <w:szCs w:val="24"/>
        </w:rPr>
      </w:r>
      <w:bookmarkStart w:id="40" w:name="_Toc51339697"/>
      <w:r>
        <w:rPr>
          <w:sz w:val="24"/>
          <w:szCs w:val="24"/>
        </w:rPr>
      </w:r>
      <w:bookmarkStart w:id="41" w:name="_Toc129956743"/>
      <w:r>
        <w:rPr>
          <w:sz w:val="24"/>
          <w:szCs w:val="24"/>
        </w:rPr>
      </w:r>
      <w:bookmarkStart w:id="42" w:name="_Toc142924511"/>
      <w:r>
        <w:rPr>
          <w:sz w:val="24"/>
          <w:szCs w:val="24"/>
        </w:rPr>
      </w:r>
      <w:bookmarkEnd w:id="26"/>
      <w:r>
        <w:rPr>
          <w:b/>
          <w:sz w:val="24"/>
          <w:szCs w:val="24"/>
          <w:highlight w:val="white"/>
        </w:rPr>
        <w:t xml:space="preserve">Таблица 3. </w:t>
      </w:r>
      <w:bookmarkStart w:id="43" w:name="_Hlk50465284"/>
      <w:r>
        <w:rPr>
          <w:b/>
          <w:sz w:val="24"/>
          <w:szCs w:val="24"/>
          <w:highlight w:val="white"/>
        </w:rPr>
        <w:t xml:space="preserve">Требования </w:t>
      </w:r>
      <w:bookmarkEnd w:id="39"/>
      <w:r>
        <w:rPr>
          <w:sz w:val="24"/>
          <w:szCs w:val="24"/>
        </w:rPr>
      </w:r>
      <w:bookmarkEnd w:id="40"/>
      <w:r>
        <w:rPr>
          <w:sz w:val="24"/>
          <w:szCs w:val="24"/>
        </w:rPr>
      </w:r>
      <w:bookmarkEnd w:id="43"/>
      <w:r>
        <w:rPr>
          <w:b/>
          <w:sz w:val="24"/>
          <w:szCs w:val="24"/>
          <w:highlight w:val="white"/>
        </w:rPr>
        <w:t xml:space="preserve">по срокам выполнения работ</w:t>
      </w:r>
      <w:bookmarkEnd w:id="27"/>
      <w:r>
        <w:rPr>
          <w:sz w:val="24"/>
          <w:szCs w:val="24"/>
        </w:rPr>
      </w:r>
      <w:bookmarkEnd w:id="41"/>
      <w:r>
        <w:rPr>
          <w:sz w:val="24"/>
          <w:szCs w:val="24"/>
        </w:rPr>
      </w:r>
      <w:bookmarkEnd w:id="42"/>
      <w:r>
        <w:rPr>
          <w:rStyle w:val="1035"/>
          <w:b w:val="0"/>
          <w:i w:val="0"/>
          <w:sz w:val="20"/>
          <w:szCs w:val="20"/>
          <w:highlight w:val="white"/>
          <w:shd w:val="clear" w:color="auto" w:fill="auto"/>
        </w:rPr>
      </w:r>
      <w:r>
        <w:rPr>
          <w:rStyle w:val="1035"/>
          <w:b w:val="0"/>
          <w:i w:val="0"/>
          <w:sz w:val="20"/>
          <w:szCs w:val="20"/>
          <w:highlight w:val="white"/>
          <w:shd w:val="clear" w:color="auto" w:fill="auto"/>
        </w:rPr>
      </w:r>
    </w:p>
    <w:tbl>
      <w:tblPr>
        <w:tblW w:w="100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373"/>
        <w:gridCol w:w="2835"/>
        <w:gridCol w:w="3117"/>
      </w:tblGrid>
      <w:tr>
        <w:tblPrEx/>
        <w:trPr/>
        <w:tc>
          <w:tcPr>
            <w:shd w:val="clear" w:color="auto" w:fill="auto"/>
            <w:tcW w:w="70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t xml:space="preserve">     </w:t>
            </w:r>
            <w:r>
              <w:rPr>
                <w:sz w:val="24"/>
                <w:szCs w:val="24"/>
                <w:highlight w:val="white"/>
              </w:rPr>
              <w:t xml:space="preserve">№ </w:t>
            </w:r>
            <w:r>
              <w:rPr>
                <w:sz w:val="24"/>
                <w:szCs w:val="24"/>
                <w:highlight w:val="white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/п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337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1033"/>
              <w:jc w:val="center"/>
              <w:keepNext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Требования к началу </w:t>
            </w:r>
            <w:r>
              <w:rPr>
                <w:sz w:val="24"/>
                <w:szCs w:val="24"/>
              </w:rPr>
              <w:t xml:space="preserve">срока выполнения работ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117" w:type="dxa"/>
            <w:vAlign w:val="center"/>
            <w:textDirection w:val="lrTb"/>
            <w:noWrap w:val="false"/>
          </w:tcPr>
          <w:p>
            <w:pPr>
              <w:pStyle w:val="1033"/>
              <w:jc w:val="center"/>
              <w:keepNext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 xml:space="preserve">окончанию срока выполнения работ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/>
            <w:bookmarkStart w:id="44" w:name="_Toc46743511"/>
            <w:r>
              <w:rPr>
                <w:b/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337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1033"/>
              <w:jc w:val="center"/>
              <w:keepNext w:val="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117" w:type="dxa"/>
            <w:vAlign w:val="center"/>
            <w:textDirection w:val="lrTb"/>
            <w:noWrap w:val="false"/>
          </w:tcPr>
          <w:p>
            <w:pPr>
              <w:pStyle w:val="1033"/>
              <w:jc w:val="center"/>
              <w:keepNext w:val="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4</w:t>
            </w:r>
            <w:bookmarkEnd w:id="44"/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704" w:type="dxa"/>
            <w:vAlign w:val="center"/>
            <w:textDirection w:val="lrTb"/>
            <w:noWrap w:val="false"/>
          </w:tcPr>
          <w:p>
            <w:pPr>
              <w:pStyle w:val="1004"/>
              <w:numPr>
                <w:ilvl w:val="0"/>
                <w:numId w:val="9"/>
              </w:num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W w:w="3373" w:type="dxa"/>
            <w:vAlign w:val="center"/>
            <w:textDirection w:val="lrTb"/>
            <w:noWrap w:val="false"/>
          </w:tcPr>
          <w:p>
            <w:pPr>
              <w:jc w:val="both"/>
              <w:rPr>
                <w:i/>
                <w:sz w:val="24"/>
                <w:szCs w:val="24"/>
                <w:highlight w:val="white"/>
              </w:rPr>
            </w:pPr>
            <w:r>
              <w:rPr>
                <w:i/>
                <w:sz w:val="24"/>
                <w:szCs w:val="24"/>
              </w:rPr>
              <w:t xml:space="preserve">Покрытие кабельных трасс огнезащитным составом электрического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цеха Нерюнгринской ГРЭС</w:t>
            </w:r>
            <w:r>
              <w:rPr>
                <w:i/>
                <w:sz w:val="24"/>
                <w:szCs w:val="24"/>
                <w:highlight w:val="white"/>
              </w:rPr>
            </w:r>
            <w:r>
              <w:rPr>
                <w:i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color w:val="000000"/>
                <w:sz w:val="24"/>
                <w:szCs w:val="24"/>
                <w:highlight w:val="white"/>
              </w:rPr>
            </w:pPr>
            <w:r>
              <w:rPr>
                <w:i/>
                <w:color w:val="000000"/>
                <w:sz w:val="24"/>
                <w:szCs w:val="24"/>
                <w:highlight w:val="white"/>
              </w:rPr>
              <w:t xml:space="preserve">с даты заключения</w:t>
            </w:r>
            <w:r>
              <w:rPr>
                <w:i/>
                <w:color w:val="000000"/>
                <w:sz w:val="24"/>
                <w:szCs w:val="24"/>
                <w:highlight w:val="white"/>
              </w:rPr>
              <w:t xml:space="preserve"> договора</w:t>
            </w:r>
            <w:r>
              <w:rPr>
                <w:i/>
                <w:color w:val="000000"/>
                <w:sz w:val="24"/>
                <w:szCs w:val="24"/>
                <w:highlight w:val="white"/>
              </w:rPr>
            </w:r>
            <w:r>
              <w:rPr>
                <w:i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3117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color w:val="000000"/>
                <w:sz w:val="24"/>
                <w:szCs w:val="24"/>
                <w:highlight w:val="white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В течении 60 календарных дней с даты заключения договора</w:t>
            </w:r>
            <w:r>
              <w:rPr>
                <w:i/>
                <w:color w:val="000000"/>
                <w:sz w:val="24"/>
                <w:szCs w:val="24"/>
                <w:highlight w:val="white"/>
              </w:rPr>
            </w:r>
            <w:r>
              <w:rPr>
                <w:i/>
                <w:color w:val="000000"/>
                <w:sz w:val="24"/>
                <w:szCs w:val="24"/>
                <w:highlight w:val="white"/>
              </w:rPr>
            </w:r>
          </w:p>
        </w:tc>
      </w:tr>
    </w:tbl>
    <w:p>
      <w:pPr>
        <w:pStyle w:val="772"/>
        <w:numPr>
          <w:ilvl w:val="0"/>
          <w:numId w:val="0"/>
        </w:numPr>
        <w:rPr>
          <w:highlight w:val="white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</w:pPr>
      <w:r/>
      <w:bookmarkStart w:id="45" w:name="_Toc50125131"/>
      <w:r>
        <w:rPr>
          <w:highlight w:val="white"/>
        </w:rPr>
      </w:r>
      <w:r>
        <w:rPr>
          <w:highlight w:val="white"/>
        </w:rPr>
      </w:r>
    </w:p>
    <w:p>
      <w:pPr>
        <w:pStyle w:val="775"/>
        <w:spacing w:before="0" w:beforeAutospacing="0" w:after="0" w:afterAutospacing="0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</w:rPr>
      </w:r>
      <w:bookmarkStart w:id="46" w:name="_Toc129956744"/>
      <w:r>
        <w:rPr>
          <w:b/>
          <w:bCs/>
          <w:sz w:val="24"/>
          <w:szCs w:val="24"/>
        </w:rPr>
      </w:r>
      <w:bookmarkStart w:id="47" w:name="_Toc142924512"/>
      <w:r>
        <w:rPr>
          <w:b/>
          <w:bCs/>
          <w:sz w:val="24"/>
          <w:szCs w:val="24"/>
        </w:rPr>
      </w:r>
      <w:bookmarkStart w:id="48" w:name="_Toc51339698"/>
      <w:r>
        <w:rPr>
          <w:b/>
          <w:bCs/>
          <w:sz w:val="24"/>
          <w:szCs w:val="24"/>
          <w:highlight w:val="white"/>
        </w:rPr>
        <w:t xml:space="preserve">Требования к качеству работ</w:t>
      </w:r>
      <w:bookmarkEnd w:id="46"/>
      <w:r>
        <w:rPr>
          <w:b/>
          <w:bCs/>
          <w:sz w:val="24"/>
          <w:szCs w:val="24"/>
        </w:rPr>
      </w:r>
      <w:bookmarkEnd w:id="47"/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r/>
      <w:r/>
    </w:p>
    <w:p>
      <w:pPr>
        <w:pStyle w:val="772"/>
        <w:numPr>
          <w:ilvl w:val="0"/>
          <w:numId w:val="0"/>
        </w:numPr>
        <w:spacing w:before="0" w:beforeAutospacing="0" w:after="0" w:afterAutospacing="0"/>
        <w:rPr>
          <w:sz w:val="24"/>
          <w:szCs w:val="24"/>
          <w:highlight w:val="white"/>
        </w:rPr>
      </w:pPr>
      <w:r>
        <w:rPr>
          <w:sz w:val="24"/>
          <w:szCs w:val="24"/>
        </w:rPr>
      </w:r>
      <w:bookmarkStart w:id="49" w:name="_Toc129956745"/>
      <w:r>
        <w:rPr>
          <w:sz w:val="24"/>
          <w:szCs w:val="24"/>
        </w:rPr>
      </w:r>
      <w:bookmarkStart w:id="50" w:name="_Toc142924513"/>
      <w:r>
        <w:rPr>
          <w:b/>
          <w:bCs/>
          <w:sz w:val="24"/>
          <w:szCs w:val="24"/>
          <w:highlight w:val="white"/>
        </w:rPr>
        <w:t xml:space="preserve">Таблица 4. Требования к </w:t>
      </w:r>
      <w:bookmarkEnd w:id="45"/>
      <w:r>
        <w:rPr>
          <w:b/>
          <w:bCs/>
          <w:sz w:val="24"/>
          <w:szCs w:val="24"/>
        </w:rPr>
      </w:r>
      <w:bookmarkEnd w:id="48"/>
      <w:r>
        <w:rPr>
          <w:b/>
          <w:bCs/>
          <w:sz w:val="24"/>
          <w:szCs w:val="24"/>
          <w:highlight w:val="white"/>
        </w:rPr>
        <w:t xml:space="preserve">качеству работ</w:t>
      </w:r>
      <w:bookmarkEnd w:id="49"/>
      <w:r>
        <w:rPr>
          <w:b/>
          <w:bCs/>
          <w:sz w:val="24"/>
          <w:szCs w:val="24"/>
        </w:rPr>
      </w:r>
      <w:bookmarkEnd w:id="50"/>
      <w:r>
        <w:rPr>
          <w:b/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both"/>
        <w:spacing w:before="0" w:beforeAutospacing="0" w:after="0" w:afterAutospacing="0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Наименование работ: </w:t>
      </w:r>
      <w:r>
        <w:rPr>
          <w:sz w:val="24"/>
          <w:szCs w:val="24"/>
          <w:highlight w:val="white"/>
        </w:rPr>
        <w:t xml:space="preserve">работы в соответствии с Таблицей 2.</w:t>
      </w:r>
      <w:r>
        <w:rPr>
          <w:b/>
          <w:bCs/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Style w:val="1065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381"/>
        <w:gridCol w:w="28"/>
        <w:gridCol w:w="3685"/>
        <w:gridCol w:w="2975"/>
        <w:gridCol w:w="2413"/>
        <w:gridCol w:w="2266"/>
      </w:tblGrid>
      <w:tr>
        <w:tblPrEx/>
        <w:trPr/>
        <w:tc>
          <w:tcPr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№ </w:t>
            </w:r>
            <w:r>
              <w:rPr>
                <w:b/>
                <w:bCs/>
                <w:sz w:val="20"/>
                <w:szCs w:val="20"/>
                <w:highlight w:val="white"/>
              </w:rPr>
              <w:t xml:space="preserve">п</w:t>
            </w:r>
            <w:r>
              <w:rPr>
                <w:b/>
                <w:bCs/>
                <w:sz w:val="20"/>
                <w:szCs w:val="20"/>
                <w:highlight w:val="white"/>
              </w:rPr>
              <w:t xml:space="preserve">/п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Наименование параметра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W w:w="66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Требование заказчика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W w:w="467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38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tcW w:w="668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41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34"/>
        </w:trPr>
        <w:tc>
          <w:tcPr>
            <w:tcW w:w="1560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2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W w:w="6689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3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4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5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contextualSpacing/>
              <w:jc w:val="center"/>
              <w:spacing w:before="60" w:after="60"/>
              <w:rPr>
                <w:rFonts w:eastAsia="Calibri"/>
                <w:sz w:val="20"/>
                <w:szCs w:val="20"/>
                <w:highlight w:val="white"/>
              </w:rPr>
            </w:pP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tcW w:w="9070" w:type="dxa"/>
            <w:textDirection w:val="lrTb"/>
            <w:noWrap w:val="false"/>
          </w:tcPr>
          <w:p>
            <w:pPr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Требования к выполнению работ 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-//-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restart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-//-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1"/>
                <w:numId w:val="13"/>
              </w:numPr>
              <w:contextualSpacing/>
              <w:ind w:left="-117" w:firstLine="142"/>
              <w:jc w:val="center"/>
              <w:spacing w:before="60" w:after="60"/>
              <w:rPr>
                <w:rFonts w:eastAsia="Calibri"/>
                <w:b/>
                <w:bCs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tcW w:w="9070" w:type="dxa"/>
            <w:textDirection w:val="lrTb"/>
            <w:noWrap w:val="false"/>
          </w:tcPr>
          <w:p>
            <w:pPr>
              <w:spacing w:before="60" w:after="60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Общие требования к выполнению работ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-//-</w:t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2"/>
                <w:numId w:val="13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shd w:val="clear" w:color="auto" w:fill="auto"/>
            <w:tcW w:w="2381" w:type="dxa"/>
            <w:textDirection w:val="lrTb"/>
            <w:noWrap w:val="false"/>
          </w:tcPr>
          <w:p>
            <w:pPr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iCs/>
                <w:sz w:val="20"/>
                <w:szCs w:val="20"/>
                <w:highlight w:val="white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auto" w:fill="auto"/>
            <w:tcW w:w="6689" w:type="dxa"/>
            <w:textDirection w:val="lrTb"/>
            <w:noWrap w:val="false"/>
          </w:tcPr>
          <w:p>
            <w:pPr>
              <w:contextualSpacing/>
              <w:ind w:firstLine="206"/>
              <w:jc w:val="both"/>
              <w:tabs>
                <w:tab w:val="left" w:pos="182" w:leader="none"/>
                <w:tab w:val="left" w:pos="413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ind w:right="72"/>
              <w:jc w:val="both"/>
              <w:widowControl w:val="off"/>
              <w:rPr>
                <w:sz w:val="24"/>
                <w:highlight w:val="white"/>
              </w:rPr>
            </w:pPr>
            <w:r>
              <w:rPr>
                <w:sz w:val="22"/>
                <w:szCs w:val="24"/>
                <w:highlight w:val="white"/>
              </w:rPr>
              <w:t xml:space="preserve">РД 153-34.0-20.262-2002 «Правила применения огнезащитных покрытий кабелей на энергетических предприятиях" согласованы главным управлением Государственной противопожарной службы МВД России ».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  <w:p>
            <w:pPr>
              <w:ind w:right="72"/>
              <w:jc w:val="both"/>
              <w:widowControl w:val="off"/>
              <w:rPr>
                <w:sz w:val="24"/>
                <w:highlight w:val="white"/>
              </w:rPr>
            </w:pPr>
            <w:r>
              <w:rPr>
                <w:sz w:val="22"/>
                <w:szCs w:val="24"/>
                <w:highlight w:val="white"/>
              </w:rPr>
              <w:t xml:space="preserve">НПБ 238-97 «Огнезащитные кабельные покрытия. Общие технические требования и методы испытаний».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  <w:p>
            <w:pPr>
              <w:ind w:right="72"/>
              <w:jc w:val="both"/>
              <w:widowControl w:val="off"/>
              <w:rPr>
                <w:sz w:val="24"/>
                <w:highlight w:val="white"/>
              </w:rPr>
            </w:pPr>
            <w:r>
              <w:rPr>
                <w:sz w:val="22"/>
                <w:szCs w:val="24"/>
                <w:highlight w:val="white"/>
              </w:rPr>
              <w:t xml:space="preserve">НПБ 251-98 «Огнезащитные составы и вещества для древесины и материалов на ее основе. Общие требования. Методы испытаний».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 технической эксплуатации электрических станций и сетей РФ</w:t>
            </w:r>
            <w:r>
              <w:rPr>
                <w:iCs/>
                <w:sz w:val="22"/>
                <w:szCs w:val="22"/>
                <w:highlight w:val="white"/>
              </w:rPr>
              <w:t xml:space="preserve">.</w:t>
            </w:r>
            <w:r>
              <w:rPr>
                <w:iCs/>
                <w:sz w:val="22"/>
                <w:szCs w:val="22"/>
                <w:highlight w:val="white"/>
              </w:rPr>
              <w:t xml:space="preserve"> (</w:t>
            </w:r>
            <w:r>
              <w:rPr>
                <w:iCs/>
                <w:sz w:val="22"/>
                <w:szCs w:val="22"/>
                <w:highlight w:val="white"/>
              </w:rPr>
              <w:t xml:space="preserve">в</w:t>
            </w:r>
            <w:r>
              <w:rPr>
                <w:iCs/>
                <w:sz w:val="22"/>
                <w:szCs w:val="22"/>
                <w:highlight w:val="white"/>
              </w:rPr>
              <w:t xml:space="preserve"> действующей редакции);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1054" w:leader="none"/>
              </w:tabs>
              <w:rPr>
                <w:b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«Правила организации технического обслуживания и ремонта </w:t>
            </w:r>
            <w:r>
              <w:rPr>
                <w:bCs/>
                <w:sz w:val="22"/>
                <w:szCs w:val="22"/>
                <w:highlight w:val="white"/>
              </w:rPr>
              <w:t xml:space="preserve">объектов электроэнергетики» (приказ </w:t>
            </w:r>
            <w:r>
              <w:rPr>
                <w:bCs/>
                <w:sz w:val="22"/>
                <w:szCs w:val="22"/>
                <w:highlight w:val="white"/>
              </w:rPr>
              <w:t xml:space="preserve">МинЭнерго</w:t>
            </w:r>
            <w:r>
              <w:rPr>
                <w:bCs/>
                <w:sz w:val="22"/>
                <w:szCs w:val="22"/>
                <w:highlight w:val="white"/>
              </w:rPr>
              <w:t xml:space="preserve"> России от 25.10.2017г. №1013);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1054" w:leader="none"/>
              </w:tabs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СТО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 (приказ АО «ДГК» от 18.01.2022г. №19)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1054" w:leader="none"/>
              </w:tabs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СТО 70238424.27.100.017-2009 Тепловые электростанции. Ремонт и техническое обслуживание оборудования, зданий и сооружений. Организация производственных процессов. Нормы и требования;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1054" w:leader="none"/>
              </w:tabs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СП 48.13330.2019 «Организация строительства. Актуализированная </w:t>
            </w:r>
            <w:r>
              <w:rPr>
                <w:bCs/>
                <w:sz w:val="22"/>
                <w:szCs w:val="22"/>
                <w:highlight w:val="white"/>
              </w:rPr>
              <w:t xml:space="preserve">редакция СНиП 12-01-2004»;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jc w:val="both"/>
              <w:tabs>
                <w:tab w:val="left" w:pos="1054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СП 68.13330.2017 «Приемка в эксплуатацию законченных строительством объектов» ред. от 10.12.2019;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tabs>
                <w:tab w:val="left" w:pos="1054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РД 153-34.0-20.608-2003 «Методические указания проект производства работ для ремонта энергетического оборудования электростанций. Требования к составу, содержанию и оформлению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Положение об организации и выполнении технического обслуживания и ремонта оборудования АО «ДГК» 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(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в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 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действующей редакции)</w:t>
            </w:r>
            <w:r>
              <w:rPr>
                <w:bCs/>
                <w:sz w:val="22"/>
                <w:szCs w:val="22"/>
                <w:highlight w:val="white"/>
              </w:rPr>
              <w:t xml:space="preserve"> 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  <w:p>
            <w:pPr>
              <w:pStyle w:val="1004"/>
              <w:ind w:left="0"/>
              <w:jc w:val="both"/>
              <w:tabs>
                <w:tab w:val="left" w:pos="256" w:leader="none"/>
              </w:tabs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sz w:val="22"/>
                <w:szCs w:val="22"/>
                <w:highlight w:val="white"/>
              </w:rPr>
              <w:t xml:space="preserve">В случае</w:t>
            </w:r>
            <w:r>
              <w:rPr>
                <w:i/>
                <w:sz w:val="22"/>
                <w:szCs w:val="22"/>
                <w:highlight w:val="white"/>
              </w:rPr>
              <w:t xml:space="preserve">,</w:t>
            </w:r>
            <w:r>
              <w:rPr>
                <w:i/>
                <w:sz w:val="22"/>
                <w:szCs w:val="22"/>
                <w:highlight w:val="white"/>
              </w:rPr>
              <w:t xml:space="preserve"> если какой-либо из указанных нормативных документов был отменен в связи с выпуском новой редакции стандарта, то необходимо применять нормативный документ, принятый в его развитие </w:t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shd w:val="clear" w:color="auto" w:fill="auto"/>
            <w:tcW w:w="2413" w:type="dxa"/>
            <w:vAlign w:val="center"/>
            <w:textDirection w:val="lrTb"/>
            <w:noWrap w:val="false"/>
          </w:tcPr>
          <w:p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Участник должен предоставить в заявке согласие выполн</w:t>
            </w:r>
            <w:r>
              <w:rPr>
                <w:i/>
                <w:sz w:val="22"/>
                <w:szCs w:val="22"/>
              </w:rPr>
              <w:t xml:space="preserve">ить работы, полностью соответствующие техническим  требованиям, по форме Технического предложения, установленной в документации о закупке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jc w:val="center"/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shd w:val="clear" w:color="auto" w:fill="auto"/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8"/>
        </w:trPr>
        <w:tc>
          <w:tcPr>
            <w:tcW w:w="1560" w:type="dxa"/>
            <w:textDirection w:val="lrTb"/>
            <w:noWrap w:val="false"/>
          </w:tcPr>
          <w:p>
            <w:pPr>
              <w:numPr>
                <w:ilvl w:val="1"/>
                <w:numId w:val="13"/>
              </w:numPr>
              <w:contextualSpacing/>
              <w:ind w:left="0" w:firstLine="0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tcW w:w="9070" w:type="dxa"/>
            <w:textDirection w:val="lrTb"/>
            <w:noWrap w:val="false"/>
          </w:tcPr>
          <w:p>
            <w:pPr>
              <w:spacing w:before="60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Требования к организации работ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-//-</w:t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2"/>
                <w:numId w:val="13"/>
              </w:numPr>
              <w:contextualSpacing/>
              <w:ind w:left="0" w:firstLine="0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Требования к организации процесса выполнения работ:</w:t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W w:w="6689" w:type="dxa"/>
            <w:textDirection w:val="lrTb"/>
            <w:noWrap w:val="false"/>
          </w:tcPr>
          <w:p>
            <w:pPr>
              <w:ind w:firstLine="454"/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sz w:val="22"/>
                <w:highlight w:val="white"/>
              </w:rPr>
              <w:suppressLineNumbers w:val="0"/>
            </w:pPr>
            <w:r>
              <w:rPr>
                <w:bCs/>
                <w:sz w:val="22"/>
                <w:szCs w:val="22"/>
                <w:highlight w:val="white"/>
              </w:rPr>
              <w:t xml:space="preserve">Комплекс организационно–технических мероприяти</w:t>
            </w:r>
            <w:r>
              <w:rPr>
                <w:bCs/>
                <w:sz w:val="22"/>
                <w:szCs w:val="22"/>
                <w:highlight w:val="white"/>
              </w:rPr>
              <w:t xml:space="preserve">й, выполняемый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 и отремонтированного оборудования, оптимальное расходование материально-технических и трудовы</w:t>
            </w:r>
            <w:r>
              <w:rPr>
                <w:bCs/>
                <w:sz w:val="22"/>
                <w:szCs w:val="22"/>
                <w:highlight w:val="white"/>
              </w:rPr>
              <w:t xml:space="preserve">х</w:t>
            </w:r>
            <w:r>
              <w:rPr>
                <w:bCs/>
                <w:sz w:val="22"/>
                <w:szCs w:val="22"/>
                <w:highlight w:val="white"/>
              </w:rPr>
              <w:t xml:space="preserve"> ресурсов. </w:t>
            </w:r>
            <w:r>
              <w:rPr>
                <w:bCs/>
                <w:sz w:val="22"/>
                <w:highlight w:val="white"/>
              </w:rPr>
            </w:r>
            <w:r>
              <w:rPr>
                <w:bCs/>
                <w:sz w:val="22"/>
                <w:highlight w:val="white"/>
              </w:rPr>
            </w:r>
          </w:p>
          <w:p>
            <w:pPr>
              <w:ind w:firstLine="454"/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sz w:val="22"/>
                <w:highlight w:val="white"/>
              </w:rPr>
              <w:suppressLineNumbers w:val="0"/>
            </w:pPr>
            <w:r>
              <w:rPr>
                <w:bCs/>
                <w:sz w:val="22"/>
                <w:highlight w:val="white"/>
              </w:rPr>
              <w:t xml:space="preserve">Изменения объемов работ, предусмотренных ведомостью планируемых работ, оформляются в соответствии с требованиями Правил </w:t>
            </w:r>
            <w:r>
              <w:rPr>
                <w:bCs/>
                <w:sz w:val="22"/>
                <w:highlight w:val="white"/>
              </w:rPr>
              <w:t xml:space="preserve">ТОиР</w:t>
            </w:r>
            <w:r>
              <w:rPr>
                <w:bCs/>
                <w:sz w:val="22"/>
                <w:highlight w:val="white"/>
              </w:rPr>
              <w:t xml:space="preserve"> (ведомостью дополнительных работ по ремонту и протоколом исключения работ из ведомости планируемых работ по ремонту), согласовываются с подрядчиком и утверждаются техническим руководителем структурного подразделения, ответст</w:t>
            </w:r>
            <w:r>
              <w:rPr>
                <w:bCs/>
                <w:sz w:val="22"/>
                <w:highlight w:val="white"/>
              </w:rPr>
              <w:t xml:space="preserve">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непосредственную эксплуатацию производственного объекта, определяется условиями договора.</w:t>
            </w:r>
            <w:r>
              <w:rPr>
                <w:bCs/>
                <w:sz w:val="22"/>
                <w:highlight w:val="white"/>
              </w:rPr>
            </w:r>
            <w:r>
              <w:rPr>
                <w:bCs/>
                <w:sz w:val="22"/>
                <w:highlight w:val="white"/>
              </w:rPr>
            </w:r>
          </w:p>
          <w:p>
            <w:pPr>
              <w:ind w:firstLine="454"/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bCs/>
                <w:sz w:val="22"/>
                <w:highlight w:val="white"/>
              </w:rPr>
              <w:t xml:space="preserve">До начала ремонта Подрядчик: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left="34" w:firstLine="454"/>
              <w:jc w:val="both"/>
              <w:rPr>
                <w:sz w:val="22"/>
                <w:szCs w:val="22"/>
              </w:rPr>
              <w:suppressLineNumbers w:val="0"/>
            </w:pPr>
            <w:r>
              <w:rPr>
                <w:bCs/>
                <w:sz w:val="20"/>
                <w:szCs w:val="20"/>
              </w:rPr>
              <w:t xml:space="preserve">- </w:t>
            </w:r>
            <w:r>
              <w:rPr>
                <w:bCs/>
                <w:sz w:val="22"/>
                <w:szCs w:val="20"/>
              </w:rPr>
              <w:t xml:space="preserve">предоставляет Заказчику «Перечень лиц, имеющих право быть </w:t>
            </w:r>
            <w:r>
              <w:rPr>
                <w:bCs/>
                <w:sz w:val="22"/>
                <w:szCs w:val="20"/>
              </w:rPr>
              <w:t xml:space="preserve">руководителями, производителями и членами бригады», а также «Перечень лиц, имеющих право подписывать акт допуск и выдавать наряды на производство работ повышенной опасности». Указанный персо</w:t>
            </w:r>
            <w:r>
              <w:rPr>
                <w:bCs/>
                <w:sz w:val="22"/>
                <w:szCs w:val="20"/>
              </w:rPr>
              <w:t xml:space="preserve">нал должен быть аттестован по охране труда в установленном порядке и иметь при себе удостоверения установленного образца.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34" w:firstLine="454"/>
              <w:jc w:val="both"/>
              <w:rPr>
                <w:sz w:val="22"/>
                <w:szCs w:val="22"/>
              </w:rPr>
              <w:suppressLineNumbers w:val="0"/>
            </w:pPr>
            <w:r>
              <w:rPr>
                <w:sz w:val="22"/>
                <w:szCs w:val="20"/>
                <w:highlight w:val="none"/>
              </w:rPr>
              <w:t xml:space="preserve">Персонал должен иметь группу по ЭБ для р</w:t>
            </w:r>
            <w:r>
              <w:rPr>
                <w:sz w:val="22"/>
                <w:szCs w:val="20"/>
                <w:highlight w:val="none"/>
              </w:rPr>
              <w:t xml:space="preserve">абот в электроустановках свыше 1000 В. Ответственный руководитель работ не ниже V гр., производитель работ не ниже IV гр., члены бригады не ниже III гр., бригада должна состоять из 3-5 чел. Персонал должен иметь необходимое медицинское освидетельствование.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34" w:firstLine="454"/>
              <w:jc w:val="both"/>
              <w:rPr>
                <w:sz w:val="22"/>
                <w:szCs w:val="22"/>
                <w:highlight w:val="none"/>
              </w:rPr>
              <w:suppressLineNumbers w:val="0"/>
            </w:pPr>
            <w:r>
              <w:rPr>
                <w:bCs/>
                <w:sz w:val="22"/>
                <w:szCs w:val="20"/>
              </w:rPr>
              <w:t xml:space="preserve">Выполнение на объекте необходимых противопожарных мероприятий, мероприятий по технике безопасности и охране окружающей среды во время </w:t>
            </w:r>
            <w:r>
              <w:rPr>
                <w:bCs/>
                <w:sz w:val="22"/>
                <w:szCs w:val="20"/>
              </w:rPr>
              <w:t xml:space="preserve">выполнения работ</w:t>
            </w:r>
            <w:r>
              <w:rPr>
                <w:bCs/>
                <w:sz w:val="22"/>
                <w:szCs w:val="20"/>
              </w:rPr>
              <w:t xml:space="preserve">, </w:t>
            </w:r>
            <w:r>
              <w:rPr>
                <w:sz w:val="22"/>
                <w:szCs w:val="20"/>
              </w:rPr>
              <w:t xml:space="preserve">соблюдать требования правил внутреннего распорядка, пропускного и внутри объектного режима.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left="34" w:firstLine="283"/>
              <w:jc w:val="both"/>
              <w:rPr>
                <w:sz w:val="22"/>
                <w:szCs w:val="20"/>
              </w:rPr>
            </w:pPr>
            <w:r>
              <w:rPr>
                <w:color w:val="ff0000"/>
                <w:sz w:val="22"/>
                <w:szCs w:val="20"/>
              </w:rPr>
              <w:tab/>
            </w:r>
            <w:r>
              <w:rPr>
                <w:sz w:val="22"/>
                <w:szCs w:val="20"/>
              </w:rPr>
              <w:t xml:space="preserve">Перед началом </w:t>
            </w:r>
            <w:r>
              <w:rPr>
                <w:sz w:val="22"/>
                <w:szCs w:val="20"/>
              </w:rPr>
              <w:t xml:space="preserve">выполнения работ</w:t>
            </w:r>
            <w:r>
              <w:rPr>
                <w:sz w:val="22"/>
                <w:szCs w:val="20"/>
              </w:rPr>
              <w:t xml:space="preserve"> предоставляет  в адрес станции список работников, которые имеют право выдачи нарядов, быть руководителем  и  производителем работ группы  по ЭБ, с указанием фамилии и инициалов, должности, удостове</w:t>
            </w:r>
            <w:r>
              <w:rPr>
                <w:sz w:val="22"/>
                <w:szCs w:val="20"/>
              </w:rPr>
              <w:t xml:space="preserve">рений   по  специализации работ;</w:t>
            </w:r>
            <w:r>
              <w:rPr>
                <w:sz w:val="22"/>
                <w:szCs w:val="20"/>
              </w:rPr>
            </w:r>
            <w:r>
              <w:rPr>
                <w:sz w:val="22"/>
                <w:szCs w:val="20"/>
              </w:rPr>
            </w:r>
          </w:p>
          <w:p>
            <w:pPr>
              <w:jc w:val="both"/>
              <w:spacing w:after="6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- </w:t>
            </w:r>
            <w:r>
              <w:rPr>
                <w:iCs/>
                <w:sz w:val="22"/>
                <w:szCs w:val="20"/>
              </w:rPr>
              <w:t xml:space="preserve">п</w:t>
            </w:r>
            <w:r>
              <w:rPr>
                <w:iCs/>
                <w:sz w:val="22"/>
                <w:szCs w:val="20"/>
              </w:rPr>
              <w:t xml:space="preserve">редостав</w:t>
            </w:r>
            <w:r>
              <w:rPr>
                <w:iCs/>
                <w:sz w:val="22"/>
                <w:szCs w:val="20"/>
              </w:rPr>
              <w:t xml:space="preserve">ляет</w:t>
            </w:r>
            <w:r>
              <w:rPr>
                <w:iCs/>
                <w:sz w:val="22"/>
                <w:szCs w:val="20"/>
              </w:rPr>
              <w:t xml:space="preserve"> до начала работ контакты и должность представителей </w:t>
            </w:r>
            <w:r>
              <w:rPr>
                <w:iCs/>
                <w:sz w:val="22"/>
                <w:szCs w:val="20"/>
              </w:rPr>
              <w:t xml:space="preserve">Подрядчика</w:t>
            </w:r>
            <w:r>
              <w:rPr>
                <w:iCs/>
                <w:sz w:val="22"/>
                <w:szCs w:val="20"/>
              </w:rPr>
              <w:t xml:space="preserve">, уполномоченных на оперативное рассмотрение и решение технических и организационных вопросов, связанных с выполнением Работ.</w:t>
            </w:r>
            <w:r>
              <w:rPr>
                <w:sz w:val="22"/>
                <w:szCs w:val="20"/>
              </w:rPr>
            </w:r>
            <w:r>
              <w:rPr>
                <w:sz w:val="22"/>
                <w:szCs w:val="20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- </w:t>
            </w:r>
            <w:r>
              <w:rPr>
                <w:sz w:val="22"/>
                <w:szCs w:val="20"/>
              </w:rPr>
              <w:t xml:space="preserve">п</w:t>
            </w:r>
            <w:r>
              <w:rPr>
                <w:sz w:val="22"/>
                <w:szCs w:val="20"/>
              </w:rPr>
              <w:t xml:space="preserve">редостав</w:t>
            </w:r>
            <w:r>
              <w:rPr>
                <w:sz w:val="22"/>
                <w:szCs w:val="20"/>
              </w:rPr>
              <w:t xml:space="preserve">ляет</w:t>
            </w:r>
            <w:r>
              <w:rPr>
                <w:sz w:val="22"/>
                <w:szCs w:val="20"/>
              </w:rPr>
              <w:t xml:space="preserve"> до начала работ контакты и должность представителя </w:t>
            </w:r>
            <w:r>
              <w:rPr>
                <w:sz w:val="22"/>
                <w:szCs w:val="20"/>
              </w:rPr>
              <w:t xml:space="preserve">Подрядчика</w:t>
            </w:r>
            <w:r>
              <w:rPr>
                <w:sz w:val="22"/>
                <w:szCs w:val="20"/>
              </w:rPr>
              <w:t xml:space="preserve">, ответственного за соблюдение норм и правил в области охраны труда, электробезопасности, пожарной и промышленной безопасности.</w:t>
            </w:r>
            <w:r>
              <w:rPr>
                <w:sz w:val="22"/>
                <w:szCs w:val="20"/>
              </w:rPr>
            </w:r>
            <w:r>
              <w:rPr>
                <w:sz w:val="22"/>
                <w:szCs w:val="20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35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eastAsia="Calibri"/>
                <w:bCs/>
                <w:sz w:val="22"/>
                <w:szCs w:val="24"/>
                <w:highlight w:val="white"/>
              </w:rPr>
            </w:pPr>
            <w:r>
              <w:rPr>
                <w:sz w:val="22"/>
                <w:szCs w:val="20"/>
              </w:rPr>
              <w:t xml:space="preserve">- 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определяет состав бригад (участков) по покрытию кабельных трасс огнезащитным составом, по численности, квалификации и профессиям. При этом должна быть обеспечена полная занятость рабочих;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35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eastAsia="Calibri"/>
                <w:bCs/>
                <w:sz w:val="22"/>
                <w:szCs w:val="24"/>
                <w:highlight w:val="white"/>
              </w:rPr>
            </w:pP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- 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назначает руководителей работ по ремонту отдельных видов работ в соответствии с номенклатурой и объемом работ, принятым по договору;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35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eastAsia="Calibri"/>
                <w:bCs/>
                <w:sz w:val="22"/>
                <w:szCs w:val="24"/>
                <w:highlight w:val="white"/>
              </w:rPr>
            </w:pP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- 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назначает лиц, ответственных за </w:t>
            </w:r>
            <w:r>
              <w:rPr>
                <w:rFonts w:eastAsia="Calibri"/>
                <w:bCs/>
                <w:sz w:val="22"/>
                <w:highlight w:val="white"/>
              </w:rPr>
              <w:t xml:space="preserve">соблюдение норм и правил в области охраны труда, электробезопасности, пожарной и промышленной безопасности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 и материально–техническое обеспечение; 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35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eastAsia="Calibri"/>
                <w:bCs/>
                <w:sz w:val="22"/>
                <w:szCs w:val="24"/>
                <w:highlight w:val="white"/>
              </w:rPr>
            </w:pP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- 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проверяет выполнение требований допуска ремонтного и командированного персонала, предусмотренного п. 1.2.2 технических требований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35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eastAsia="Calibri"/>
                <w:bCs/>
                <w:sz w:val="22"/>
                <w:szCs w:val="24"/>
                <w:highlight w:val="white"/>
              </w:rPr>
            </w:pPr>
            <w:r>
              <w:rPr>
                <w:sz w:val="22"/>
                <w:szCs w:val="20"/>
              </w:rPr>
              <w:t xml:space="preserve">         </w:t>
            </w:r>
            <w:r>
              <w:rPr>
                <w:sz w:val="22"/>
                <w:szCs w:val="20"/>
              </w:rPr>
              <w:t xml:space="preserve">Работы производятся только по согласованию цеха эксплуатирующего   данное оборудование.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35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eastAsia="Calibri"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0"/>
              </w:rPr>
              <w:t xml:space="preserve">    </w:t>
            </w:r>
            <w:r>
              <w:rPr>
                <w:sz w:val="24"/>
                <w:szCs w:val="20"/>
              </w:rPr>
              <w:t xml:space="preserve">   </w:t>
            </w:r>
            <w:r>
              <w:rPr>
                <w:sz w:val="22"/>
                <w:szCs w:val="20"/>
              </w:rPr>
              <w:t xml:space="preserve">Строго соблюдать сроки и объемы оказания услуг.</w:t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</w:r>
            <w:r>
              <w:rPr>
                <w:rFonts w:eastAsia="Calibri"/>
                <w:bCs/>
                <w:sz w:val="24"/>
                <w:szCs w:val="24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alibri"/>
                <w:bCs/>
                <w:sz w:val="22"/>
                <w:szCs w:val="24"/>
                <w:highlight w:val="white"/>
              </w:rPr>
            </w:pP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Руководители работ подрядных организаций, участвующие в производстве Работ </w:t>
            </w:r>
            <w:r>
              <w:rPr>
                <w:rFonts w:eastAsia="Calibri"/>
                <w:bCs/>
                <w:sz w:val="22"/>
                <w:szCs w:val="24"/>
              </w:rPr>
              <w:t xml:space="preserve">совместно с представителями Заказчика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, осуществляют входной контроль качеств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а применяемых материалов,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          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b/>
                <w:i/>
                <w:iCs/>
                <w:sz w:val="20"/>
                <w:szCs w:val="20"/>
                <w:highlight w:val="white"/>
              </w:rPr>
            </w:r>
            <w:r>
              <w:rPr>
                <w:b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b/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iCs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b/>
                <w:i/>
                <w:iCs/>
                <w:sz w:val="20"/>
                <w:szCs w:val="20"/>
                <w:highlight w:val="white"/>
              </w:rPr>
            </w:r>
            <w:r>
              <w:rPr>
                <w:b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>
          <w:trHeight w:val="290"/>
        </w:trPr>
        <w:tc>
          <w:tcPr>
            <w:tcW w:w="1560" w:type="dxa"/>
            <w:textDirection w:val="lrTb"/>
            <w:noWrap w:val="false"/>
          </w:tcPr>
          <w:p>
            <w:pPr>
              <w:ind w:left="25"/>
              <w:jc w:val="center"/>
              <w:spacing w:before="60" w:after="60"/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iCs/>
                <w:sz w:val="20"/>
                <w:szCs w:val="20"/>
                <w:highlight w:val="white"/>
              </w:rPr>
              <w:t xml:space="preserve">1.2.</w:t>
            </w:r>
            <w:r>
              <w:rPr>
                <w:i/>
                <w:iCs/>
                <w:sz w:val="20"/>
                <w:szCs w:val="20"/>
                <w:highlight w:val="white"/>
              </w:rPr>
              <w:t xml:space="preserve">2</w:t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i/>
                <w:sz w:val="20"/>
                <w:szCs w:val="20"/>
                <w:highlight w:val="white"/>
              </w:rPr>
            </w:pPr>
            <w:r>
              <w:rPr>
                <w:i/>
                <w:iCs/>
                <w:sz w:val="20"/>
                <w:szCs w:val="24"/>
                <w:highlight w:val="white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i/>
                <w:sz w:val="20"/>
                <w:szCs w:val="20"/>
                <w:highlight w:val="white"/>
              </w:rPr>
            </w:r>
            <w:r>
              <w:rPr>
                <w:i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W w:w="6689" w:type="dxa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Допуск персонала подрядчика для выполнения работ должен осуществляться в соответствии с: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pStyle w:val="1004"/>
              <w:numPr>
                <w:ilvl w:val="0"/>
                <w:numId w:val="35"/>
              </w:numPr>
              <w:contextualSpacing/>
              <w:jc w:val="both"/>
              <w:spacing w:after="60"/>
              <w:tabs>
                <w:tab w:val="left" w:pos="406" w:leader="none"/>
              </w:tabs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22.1-504-2026 </w:t>
            </w:r>
            <w:r>
              <w:rPr>
                <w:rFonts w:eastAsia="Calibri"/>
                <w:bCs/>
                <w:sz w:val="22"/>
                <w:szCs w:val="22"/>
              </w:rPr>
              <w:t xml:space="preserve">Положением о допуске персонала подрядных организаций к выполнению работ на объектах АО «ДГК»</w:t>
            </w:r>
            <w:r>
              <w:rPr>
                <w:rFonts w:eastAsia="Calibri"/>
                <w:bCs/>
                <w:sz w:val="22"/>
                <w:szCs w:val="22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</w:rPr>
              <w:t xml:space="preserve">(утверждено приказом АО «ДГК» №649</w:t>
            </w:r>
            <w:r>
              <w:rPr>
                <w:rFonts w:eastAsia="Calibri"/>
                <w:bCs/>
                <w:sz w:val="22"/>
                <w:szCs w:val="22"/>
              </w:rPr>
              <w:t xml:space="preserve"> от 22.07</w:t>
            </w:r>
            <w:r>
              <w:rPr>
                <w:rFonts w:eastAsia="Calibri"/>
                <w:bCs/>
                <w:sz w:val="22"/>
                <w:szCs w:val="22"/>
              </w:rPr>
              <w:t xml:space="preserve">.2026</w:t>
            </w:r>
            <w:r>
              <w:rPr>
                <w:rFonts w:eastAsia="Calibri"/>
                <w:bCs/>
                <w:sz w:val="22"/>
                <w:szCs w:val="22"/>
              </w:rPr>
              <w:t xml:space="preserve">г.) (Приложение №</w:t>
            </w:r>
            <w:r>
              <w:rPr>
                <w:rFonts w:eastAsia="Calibri"/>
                <w:bCs/>
                <w:sz w:val="22"/>
                <w:szCs w:val="22"/>
              </w:rPr>
              <w:t xml:space="preserve">3</w:t>
            </w:r>
            <w:r>
              <w:rPr>
                <w:rFonts w:eastAsia="Calibri"/>
                <w:bCs/>
                <w:sz w:val="22"/>
                <w:szCs w:val="22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</w:rPr>
              <w:t xml:space="preserve">к ТТ).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pStyle w:val="1004"/>
              <w:numPr>
                <w:ilvl w:val="0"/>
                <w:numId w:val="35"/>
              </w:numPr>
              <w:contextualSpacing/>
              <w:jc w:val="both"/>
              <w:spacing w:after="60"/>
              <w:tabs>
                <w:tab w:val="left" w:pos="406" w:leader="none"/>
              </w:tabs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Инструкция о пропускном и </w:t>
            </w:r>
            <w:r>
              <w:rPr>
                <w:rFonts w:eastAsia="Calibri"/>
                <w:bCs/>
                <w:sz w:val="22"/>
                <w:szCs w:val="22"/>
              </w:rPr>
              <w:t xml:space="preserve">внутриобъектовом</w:t>
            </w:r>
            <w:r>
              <w:rPr>
                <w:rFonts w:eastAsia="Calibri"/>
                <w:bCs/>
                <w:sz w:val="22"/>
                <w:szCs w:val="22"/>
              </w:rPr>
              <w:t xml:space="preserve"> режимах на объектах АО «ДГК»; с обязательным оформлением необходимых нарядов-допусков (Приложение </w:t>
            </w:r>
            <w:r>
              <w:rPr>
                <w:rFonts w:eastAsia="Calibri"/>
                <w:bCs/>
                <w:sz w:val="22"/>
                <w:szCs w:val="22"/>
              </w:rPr>
              <w:t xml:space="preserve">№</w:t>
            </w:r>
            <w:r>
              <w:rPr>
                <w:rFonts w:eastAsia="Calibri"/>
                <w:bCs/>
                <w:sz w:val="22"/>
                <w:szCs w:val="22"/>
              </w:rPr>
              <w:t xml:space="preserve">3</w:t>
            </w:r>
            <w:r>
              <w:rPr>
                <w:rFonts w:eastAsia="Calibri"/>
                <w:bCs/>
                <w:sz w:val="22"/>
                <w:szCs w:val="22"/>
              </w:rPr>
              <w:t xml:space="preserve"> к </w:t>
            </w:r>
            <w:r>
              <w:rPr>
                <w:rFonts w:eastAsia="Calibri"/>
                <w:bCs/>
                <w:sz w:val="22"/>
                <w:szCs w:val="22"/>
              </w:rPr>
              <w:t xml:space="preserve">Т</w:t>
            </w:r>
            <w:r>
              <w:rPr>
                <w:rFonts w:eastAsia="Calibri"/>
                <w:bCs/>
                <w:sz w:val="22"/>
                <w:szCs w:val="22"/>
              </w:rPr>
              <w:t xml:space="preserve">Т</w:t>
            </w:r>
            <w:r>
              <w:rPr>
                <w:rFonts w:eastAsia="Calibri"/>
                <w:bCs/>
                <w:sz w:val="22"/>
                <w:szCs w:val="22"/>
              </w:rPr>
              <w:t xml:space="preserve">).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contextualSpacing/>
              <w:ind w:left="0" w:firstLine="454"/>
              <w:jc w:val="both"/>
              <w:spacing w:after="60"/>
              <w:tabs>
                <w:tab w:val="left" w:pos="406" w:leader="none"/>
              </w:tabs>
              <w:rPr>
                <w:rFonts w:eastAsia="Calibri"/>
                <w:sz w:val="22"/>
                <w:szCs w:val="22"/>
              </w:rPr>
              <w:suppressLineNumbers w:val="0"/>
            </w:pPr>
            <w:r>
              <w:rPr>
                <w:rFonts w:eastAsia="Calibri"/>
                <w:bCs/>
                <w:sz w:val="22"/>
                <w:szCs w:val="22"/>
                <w:highlight w:val="none"/>
              </w:rPr>
              <w:t xml:space="preserve">Акт-допуск на выполнение строительно-монтажных работ на территории объекта АО «ДГК» оформляется в соответствии с формой, предусмотренной Приложением №3 к Положению о допуске персонала подрядных организаций (Приложение №3 к ТТ)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ind w:firstLine="454"/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sz w:val="20"/>
                <w:szCs w:val="20"/>
              </w:rPr>
              <w:suppressLineNumbers w:val="0"/>
            </w:pPr>
            <w:r>
              <w:rPr>
                <w:rFonts w:eastAsia="Calibri"/>
                <w:bCs/>
                <w:sz w:val="22"/>
                <w:szCs w:val="22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1"/>
                <w:numId w:val="13"/>
              </w:numPr>
              <w:contextualSpacing/>
              <w:ind w:left="-117" w:firstLine="142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tcW w:w="9070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Требования к применяемым при выполнении работ оборудованию, материалам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-//-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</w:tr>
      <w:tr>
        <w:tblPrEx/>
        <w:trPr>
          <w:trHeight w:val="4890"/>
        </w:trPr>
        <w:tc>
          <w:tcPr>
            <w:tcW w:w="1560" w:type="dxa"/>
            <w:textDirection w:val="lrTb"/>
            <w:noWrap w:val="false"/>
          </w:tcPr>
          <w:p>
            <w:pPr>
              <w:numPr>
                <w:ilvl w:val="2"/>
                <w:numId w:val="13"/>
              </w:numPr>
              <w:contextualSpacing/>
              <w:ind w:left="0" w:firstLine="0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Требования к применяемым материалам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W w:w="6689" w:type="dxa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35"/>
              <w:jc w:val="both"/>
              <w:tabs>
                <w:tab w:val="left" w:pos="406" w:leader="none"/>
              </w:tabs>
              <w:rPr>
                <w:rFonts w:eastAsia="Calibri"/>
                <w:bCs/>
                <w:sz w:val="22"/>
                <w:szCs w:val="24"/>
                <w:highlight w:val="white"/>
              </w:rPr>
            </w:pPr>
            <w:r>
              <w:rPr>
                <w:rFonts w:eastAsia="Calibri"/>
                <w:bCs/>
                <w:sz w:val="22"/>
                <w:szCs w:val="24"/>
                <w:highlight w:val="white"/>
              </w:rPr>
              <w:t xml:space="preserve">Все применяемые материалы должны быть новыми и не использованными ранее.</w:t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  <w:r>
              <w:rPr>
                <w:rFonts w:eastAsia="Calibri"/>
                <w:bCs/>
                <w:sz w:val="22"/>
                <w:szCs w:val="24"/>
                <w:highlight w:val="white"/>
              </w:rPr>
            </w:r>
          </w:p>
          <w:p>
            <w:pPr>
              <w:numPr>
                <w:ilvl w:val="0"/>
                <w:numId w:val="16"/>
              </w:numPr>
              <w:ind w:left="35"/>
              <w:jc w:val="both"/>
              <w:tabs>
                <w:tab w:val="left" w:pos="406" w:leader="none"/>
              </w:tabs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sz w:val="22"/>
                <w:szCs w:val="24"/>
                <w:highlight w:val="none"/>
              </w:rPr>
              <w:t xml:space="preserve">Все материалы необходимые для выполнения работ приобретаются Подрядчиком самостоятельно, в соответствии с ведомостью материалов подрядчика (Приложение №5 к ТТ) 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  <w:p>
            <w:pPr>
              <w:pStyle w:val="1004"/>
              <w:numPr>
                <w:ilvl w:val="0"/>
                <w:numId w:val="16"/>
              </w:numPr>
              <w:contextualSpacing w:val="0"/>
              <w:ind w:left="35"/>
              <w:jc w:val="both"/>
              <w:tabs>
                <w:tab w:val="left" w:pos="406" w:leader="none"/>
              </w:tabs>
              <w:rPr>
                <w:bCs/>
                <w:sz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Cs/>
                <w:sz w:val="22"/>
                <w:highlight w:val="white"/>
              </w:rPr>
              <w:t xml:space="preserve">Подрядчиком в работе может быть применена эквивалентная продукция*, предварительно согласованная с Заказчиком.</w:t>
            </w:r>
            <w:r>
              <w:rPr>
                <w:bCs/>
                <w:sz w:val="22"/>
                <w:highlight w:val="white"/>
              </w:rPr>
            </w:r>
            <w:r>
              <w:rPr>
                <w:bCs/>
                <w:sz w:val="22"/>
                <w:highlight w:val="white"/>
              </w:rPr>
            </w:r>
          </w:p>
          <w:p>
            <w:pPr>
              <w:pStyle w:val="1004"/>
              <w:numPr>
                <w:ilvl w:val="0"/>
                <w:numId w:val="16"/>
              </w:numPr>
              <w:ind w:left="35"/>
              <w:jc w:val="both"/>
              <w:tabs>
                <w:tab w:val="left" w:pos="406" w:leader="none"/>
              </w:tabs>
              <w:rPr>
                <w:bCs/>
                <w:color w:val="000000" w:themeColor="text1"/>
                <w:sz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Cs/>
                <w:sz w:val="22"/>
                <w:highlight w:val="white"/>
              </w:rPr>
              <w:t xml:space="preserve">В случае</w:t>
            </w:r>
            <w:r>
              <w:rPr>
                <w:bCs/>
                <w:sz w:val="22"/>
                <w:highlight w:val="white"/>
              </w:rPr>
              <w:t xml:space="preserve">,</w:t>
            </w:r>
            <w:r>
              <w:rPr>
                <w:bCs/>
                <w:sz w:val="22"/>
                <w:highlight w:val="white"/>
              </w:rPr>
              <w:t xml:space="preserve"> если на этапе исполнения договора Подрядчиком, вместо материалов конкретных то</w:t>
            </w:r>
            <w:r>
              <w:rPr>
                <w:bCs/>
                <w:sz w:val="22"/>
                <w:highlight w:val="white"/>
              </w:rPr>
              <w:t xml:space="preserve">рговых знаков, марок и/или наименований, указанных в технической и сметной документации, будет применяться эквивалентная продукция. Подрядчик принимает на себя все затраты по внесению соответствующих изменений в техническую и сметную документацию, а также </w:t>
            </w:r>
            <w:r>
              <w:rPr>
                <w:bCs/>
                <w:color w:val="000000" w:themeColor="text1"/>
                <w:sz w:val="22"/>
                <w:highlight w:val="white"/>
              </w:rPr>
              <w:t xml:space="preserve">согласованию ее с Заказчиком без увеличения общей стоимости. Договору.</w:t>
            </w:r>
            <w:r>
              <w:rPr>
                <w:bCs/>
                <w:color w:val="000000" w:themeColor="text1"/>
                <w:sz w:val="22"/>
                <w:highlight w:val="white"/>
              </w:rPr>
            </w:r>
            <w:r>
              <w:rPr>
                <w:bCs/>
                <w:color w:val="000000" w:themeColor="text1"/>
                <w:sz w:val="22"/>
                <w:highlight w:val="white"/>
              </w:rPr>
            </w:r>
          </w:p>
          <w:p>
            <w:pPr>
              <w:numPr>
                <w:ilvl w:val="0"/>
                <w:numId w:val="16"/>
              </w:numPr>
              <w:contextualSpacing/>
              <w:ind w:left="35"/>
              <w:jc w:val="both"/>
              <w:spacing w:after="60"/>
              <w:tabs>
                <w:tab w:val="left" w:pos="406" w:leader="none"/>
              </w:tabs>
              <w:rPr>
                <w:highlight w:val="white"/>
              </w:rPr>
            </w:pPr>
            <w:r>
              <w:rPr>
                <w:rFonts w:eastAsia="Calibri"/>
                <w:bCs/>
                <w:color w:val="000000" w:themeColor="text1"/>
                <w:sz w:val="22"/>
                <w:szCs w:val="24"/>
                <w:highlight w:val="white"/>
              </w:rPr>
              <w:t xml:space="preserve">* Эквивалентная продукция – это продукция, которая по техническим и функциональным характеристикам не уступает характеристикам, указанных в перечне материалов Подрядчика и технической документации.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i/>
                <w:iCs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1"/>
                <w:numId w:val="13"/>
              </w:numPr>
              <w:contextualSpacing/>
              <w:ind w:left="-117" w:firstLine="142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tcW w:w="9070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Требования к контролю качества работ и материалов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-//-</w:t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</w:tr>
      <w:tr>
        <w:tblPrEx/>
        <w:trPr>
          <w:trHeight w:val="392"/>
        </w:trPr>
        <w:tc>
          <w:tcPr>
            <w:tcW w:w="1560" w:type="dxa"/>
            <w:vAlign w:val="center"/>
            <w:textDirection w:val="lrTb"/>
            <w:noWrap w:val="false"/>
          </w:tcPr>
          <w:p>
            <w:pPr>
              <w:numPr>
                <w:ilvl w:val="2"/>
                <w:numId w:val="13"/>
              </w:numPr>
              <w:contextualSpacing/>
              <w:ind w:hanging="1199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i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Контроль качества используемых материалов</w:t>
            </w:r>
            <w:r>
              <w:rPr>
                <w:i/>
                <w:sz w:val="20"/>
                <w:szCs w:val="20"/>
                <w:highlight w:val="white"/>
              </w:rPr>
            </w:r>
            <w:r>
              <w:rPr>
                <w:i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W w:w="6689" w:type="dxa"/>
            <w:textDirection w:val="lrTb"/>
            <w:noWrap w:val="false"/>
          </w:tcPr>
          <w:p>
            <w:pPr>
              <w:jc w:val="both"/>
              <w:spacing w:after="60"/>
              <w:rPr>
                <w:bCs/>
                <w:iCs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Материалы Подрядчика должны иметь сертификаты, паспорта и другие документы, подтверждающие их качество.</w:t>
            </w:r>
            <w:r>
              <w:rPr>
                <w:bCs/>
                <w:iCs/>
                <w:sz w:val="22"/>
                <w:szCs w:val="22"/>
                <w:highlight w:val="white"/>
              </w:rPr>
            </w:r>
            <w:r>
              <w:rPr>
                <w:bCs/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iCs/>
                <w:sz w:val="22"/>
                <w:szCs w:val="22"/>
                <w:highlight w:val="white"/>
              </w:rPr>
            </w:pPr>
            <w:r>
              <w:rPr>
                <w:bCs/>
                <w:iCs/>
                <w:sz w:val="22"/>
                <w:szCs w:val="22"/>
                <w:highlight w:val="white"/>
              </w:rPr>
              <w:t xml:space="preserve">При осуществлении Подрядчиком совместно с Заказчиком входного контроля качества строительных материалов и изделий, поступивших на ремонтную площадку, об</w:t>
            </w:r>
            <w:r>
              <w:rPr>
                <w:bCs/>
                <w:iCs/>
                <w:sz w:val="22"/>
                <w:szCs w:val="22"/>
                <w:highlight w:val="white"/>
              </w:rPr>
              <w:t xml:space="preserve">язательное наличие и ведение журнала входного учета и контроля качества получаемых материалов. Отсутствие записи о приемке материалов в данном журнале дает основание Заказчику в отказе приемки выполненных работ с использованием соответствующих материалов. </w:t>
            </w:r>
            <w:r>
              <w:rPr>
                <w:bCs/>
                <w:iCs/>
                <w:sz w:val="22"/>
                <w:szCs w:val="22"/>
                <w:highlight w:val="white"/>
              </w:rPr>
            </w:r>
            <w:r>
              <w:rPr>
                <w:bCs/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spacing w:after="60"/>
              <w:rPr>
                <w:bCs/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Более Подробно требования указаны в проекте договора подряда (в том числе в разделе №2), который включен в состав Документации о закупке </w:t>
            </w:r>
            <w:r>
              <w:rPr>
                <w:bCs/>
                <w:i/>
                <w:iCs/>
                <w:sz w:val="20"/>
                <w:szCs w:val="20"/>
                <w:highlight w:val="white"/>
              </w:rPr>
            </w:r>
            <w:r>
              <w:rPr>
                <w:bCs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92"/>
        </w:trPr>
        <w:tc>
          <w:tcPr>
            <w:tcW w:w="1560" w:type="dxa"/>
            <w:textDirection w:val="lrTb"/>
            <w:noWrap w:val="false"/>
          </w:tcPr>
          <w:p>
            <w:pPr>
              <w:numPr>
                <w:ilvl w:val="2"/>
                <w:numId w:val="13"/>
              </w:numPr>
              <w:contextualSpacing/>
              <w:ind w:hanging="1199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i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Требования к контролю качества работ</w:t>
            </w:r>
            <w:r>
              <w:rPr>
                <w:i/>
                <w:sz w:val="20"/>
                <w:szCs w:val="20"/>
                <w:highlight w:val="white"/>
              </w:rPr>
            </w:r>
            <w:r>
              <w:rPr>
                <w:i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W w:w="6689" w:type="dxa"/>
            <w:textDirection w:val="lrTb"/>
            <w:noWrap w:val="false"/>
          </w:tcPr>
          <w:p>
            <w:pPr>
              <w:jc w:val="both"/>
              <w:spacing w:after="60"/>
              <w:rPr>
                <w:bCs/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Работы должны быть выполнены в полном соответствии с требованиями государственных стандартов, действующих строительных норм и правил, ПУЭ, НПБ, технических регламентов, санитарных норм и правил</w:t>
            </w:r>
            <w:r>
              <w:rPr>
                <w:bCs/>
                <w:iCs/>
                <w:sz w:val="22"/>
                <w:szCs w:val="22"/>
                <w:highlight w:val="white"/>
              </w:rPr>
              <w:t xml:space="preserve">.</w:t>
            </w:r>
            <w:r>
              <w:rPr>
                <w:bCs/>
                <w:iCs/>
                <w:sz w:val="22"/>
                <w:szCs w:val="22"/>
                <w:highlight w:val="white"/>
              </w:rPr>
            </w:r>
            <w:r>
              <w:rPr>
                <w:bCs/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spacing w:after="60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Приемка в эксплуатацию и контроль качества ремонта должны </w:t>
            </w:r>
            <w:r>
              <w:rPr>
                <w:iCs/>
                <w:sz w:val="22"/>
                <w:szCs w:val="22"/>
                <w:highlight w:val="white"/>
              </w:rPr>
              <w:t xml:space="preserve">производиться в соответствии с разделами №4.2 «Положения об организации контроля и приемке выполненных работ на ремонтируемых объектах, объектах модернизации, реконструкции и технического перевооружения - 21-003-2019» 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spacing w:after="60"/>
              <w:rPr>
                <w:i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Подробно указаны в проекте договора подряда (в том числе в разделе №2), который включен в состав Документации о закупке </w:t>
            </w:r>
            <w:r>
              <w:rPr>
                <w:i/>
                <w:sz w:val="20"/>
                <w:szCs w:val="20"/>
                <w:highlight w:val="white"/>
              </w:rPr>
            </w:r>
            <w:r>
              <w:rPr>
                <w:i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1"/>
                <w:numId w:val="13"/>
              </w:numPr>
              <w:contextualSpacing/>
              <w:ind w:left="-117" w:firstLine="142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tcW w:w="9070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Требования к персоналу подрядчика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-//-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2"/>
                <w:numId w:val="13"/>
              </w:numPr>
              <w:contextualSpacing/>
              <w:ind w:left="0" w:firstLine="0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W w:w="240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eastAsia="Calibri"/>
                <w:i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sz w:val="20"/>
                <w:szCs w:val="20"/>
                <w:highlight w:val="white"/>
              </w:rPr>
              <w:t xml:space="preserve">Квалификация персонала подрядчика, привлекаемого к выполнению работ</w:t>
            </w:r>
            <w:r>
              <w:rPr>
                <w:rFonts w:eastAsia="Calibri"/>
                <w:i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W w:w="6661" w:type="dxa"/>
            <w:textDirection w:val="lrTb"/>
            <w:noWrap w:val="false"/>
          </w:tcPr>
          <w:p>
            <w:pPr>
              <w:ind w:firstLine="35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Подрядчик должен иметь миним</w:t>
            </w:r>
            <w:r>
              <w:rPr>
                <w:sz w:val="22"/>
                <w:szCs w:val="22"/>
                <w:highlight w:val="white"/>
              </w:rPr>
              <w:t xml:space="preserve">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планируемого к привлечению, в том</w:t>
            </w:r>
            <w:r>
              <w:rPr>
                <w:sz w:val="22"/>
                <w:szCs w:val="22"/>
                <w:highlight w:val="white"/>
              </w:rPr>
              <w:t xml:space="preserve"> числе по договорам субподряда)</w:t>
            </w:r>
            <w:r>
              <w:rPr>
                <w:sz w:val="22"/>
                <w:szCs w:val="22"/>
              </w:rPr>
              <w:t xml:space="preserve">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68"/>
              <w:ind w:firstLine="175"/>
              <w:spacing w:line="240" w:lineRule="auto"/>
            </w:pPr>
            <w:r>
              <w:rPr>
                <w:sz w:val="22"/>
                <w:szCs w:val="22"/>
              </w:rPr>
              <w:t xml:space="preserve">- аттестованных по электробезопасности  специалистов  в соответствии с правилами по охране труда при эксплуатации электроустановок. Персонал должен иметь группу по ЭБ для работ в электроустановках свыше 1000</w:t>
            </w:r>
            <w:r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 xml:space="preserve"> (ответствен</w:t>
            </w:r>
            <w:r>
              <w:rPr>
                <w:sz w:val="22"/>
                <w:szCs w:val="22"/>
              </w:rPr>
              <w:t xml:space="preserve">ный руководитель работ не ниже V гр., производитель работ не ниже IV гр., члены бригады не ниже III гр.), иметь необходимое медицинское освидетельствование, удостоверения согласно требованиям Правил работы, с персоналом в организациях электроэнергетики РФ.</w:t>
            </w:r>
            <w:r/>
          </w:p>
          <w:p>
            <w:p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При выполнении работ по огнезащите Подрядчик должен иметь лицензию на выполнение работ, выданную Министерством Российской Федерации по делам гражданской обороны, чрезвычайным ситуациям и ликвидации последствий стихийных бедствий, и должен предоставить ска</w:t>
            </w:r>
            <w:r>
              <w:rPr>
                <w:sz w:val="22"/>
                <w:szCs w:val="22"/>
              </w:rPr>
              <w:t xml:space="preserve">н-копию действующей лицензии на «Деятельность по монтажу, техническому обслуживанию и ремонту средств обеспечения пожарной безопасности зданий и сооружений» в составе которой предусмотрено «Выполнение работ по огнезащите материалов, изделий и конструкций».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iCs/>
                <w:sz w:val="22"/>
                <w:szCs w:val="22"/>
                <w:highlight w:val="white"/>
              </w:rPr>
            </w:pPr>
            <w:r>
              <w:rPr>
                <w:bCs/>
                <w:iCs/>
                <w:sz w:val="22"/>
                <w:szCs w:val="22"/>
                <w:highlight w:val="white"/>
              </w:rPr>
              <w:t xml:space="preserve">До начала проведения работ в рамках исполнения договора после его заключения подрядчик предоставляет:</w:t>
            </w:r>
            <w:r>
              <w:rPr>
                <w:bCs/>
                <w:iCs/>
                <w:sz w:val="22"/>
                <w:szCs w:val="22"/>
                <w:highlight w:val="white"/>
              </w:rPr>
            </w:r>
            <w:r>
              <w:rPr>
                <w:bCs/>
                <w:iCs/>
                <w:sz w:val="22"/>
                <w:szCs w:val="22"/>
                <w:highlight w:val="white"/>
              </w:rPr>
            </w:r>
          </w:p>
          <w:p>
            <w:pPr>
              <w:pStyle w:val="1004"/>
              <w:numPr>
                <w:ilvl w:val="0"/>
                <w:numId w:val="17"/>
              </w:numPr>
              <w:contextualSpacing w:val="0"/>
              <w:ind w:left="34" w:hanging="34"/>
              <w:jc w:val="both"/>
              <w:spacing w:before="60"/>
              <w:widowControl w:val="off"/>
              <w:tabs>
                <w:tab w:val="left" w:pos="318" w:leader="none"/>
              </w:tabs>
              <w:rPr>
                <w:bCs/>
                <w:iCs/>
                <w:sz w:val="22"/>
                <w:szCs w:val="22"/>
                <w:highlight w:val="white"/>
              </w:rPr>
            </w:pPr>
            <w:r>
              <w:rPr>
                <w:bCs/>
                <w:iCs/>
                <w:sz w:val="22"/>
                <w:szCs w:val="22"/>
                <w:highlight w:val="white"/>
              </w:rPr>
              <w:t xml:space="preserve">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</w:t>
            </w:r>
            <w:r>
              <w:rPr>
                <w:bCs/>
                <w:iCs/>
                <w:sz w:val="22"/>
                <w:szCs w:val="22"/>
                <w:highlight w:val="white"/>
              </w:rPr>
              <w:t xml:space="preserve">электро</w:t>
            </w:r>
            <w:r>
              <w:rPr>
                <w:bCs/>
                <w:iCs/>
                <w:sz w:val="22"/>
                <w:szCs w:val="22"/>
                <w:highlight w:val="white"/>
              </w:rPr>
              <w:t xml:space="preserve"> - и </w:t>
            </w:r>
            <w:r>
              <w:rPr>
                <w:bCs/>
                <w:iCs/>
                <w:sz w:val="22"/>
                <w:szCs w:val="22"/>
                <w:highlight w:val="white"/>
              </w:rPr>
              <w:t xml:space="preserve">пневмоинструментом</w:t>
            </w:r>
            <w:r>
              <w:rPr>
                <w:bCs/>
                <w:iCs/>
                <w:sz w:val="22"/>
                <w:szCs w:val="22"/>
                <w:highlight w:val="white"/>
              </w:rPr>
              <w:t xml:space="preserve">) (возможно совмещение специальностей)</w:t>
            </w:r>
            <w:r>
              <w:rPr>
                <w:bCs/>
                <w:iCs/>
                <w:sz w:val="22"/>
                <w:szCs w:val="22"/>
                <w:highlight w:val="white"/>
              </w:rPr>
            </w:r>
            <w:r>
              <w:rPr>
                <w:bCs/>
                <w:iCs/>
                <w:sz w:val="22"/>
                <w:szCs w:val="22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i/>
                <w:sz w:val="20"/>
                <w:szCs w:val="20"/>
                <w:highlight w:val="white"/>
              </w:rPr>
            </w:r>
            <w:r>
              <w:rPr>
                <w:i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1"/>
                <w:numId w:val="13"/>
              </w:numPr>
              <w:contextualSpacing/>
              <w:ind w:left="-117" w:firstLine="142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tcW w:w="9070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Требования к безопасности работ и охране труда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-//-</w:t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  <w:r>
              <w:rPr>
                <w:rFonts w:eastAsia="Calibri"/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2"/>
                <w:numId w:val="13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spacing w:before="60" w:after="60"/>
              <w:rPr>
                <w:i/>
                <w:iCs/>
                <w:sz w:val="20"/>
                <w:szCs w:val="20"/>
                <w:highlight w:val="white"/>
              </w:rPr>
              <w:outlineLvl w:val="2"/>
            </w:pPr>
            <w:r/>
            <w:bookmarkStart w:id="51" w:name="_Toc129956746"/>
            <w:r/>
            <w:bookmarkStart w:id="52" w:name="_Toc142924514"/>
            <w:r>
              <w:rPr>
                <w:rFonts w:eastAsia="Calibri"/>
                <w:i/>
                <w:sz w:val="20"/>
                <w:szCs w:val="20"/>
                <w:highlight w:val="white"/>
              </w:rPr>
              <w:t xml:space="preserve">Требования к безопасности выполняемых работ</w:t>
            </w:r>
            <w:bookmarkEnd w:id="51"/>
            <w:r/>
            <w:bookmarkEnd w:id="52"/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W w:w="6689" w:type="dxa"/>
            <w:textDirection w:val="lrTb"/>
            <w:noWrap w:val="false"/>
          </w:tcPr>
          <w:p>
            <w:pPr>
              <w:jc w:val="both"/>
              <w:shd w:val="clear" w:color="auto" w:fill="ffffff"/>
              <w:tabs>
                <w:tab w:val="left" w:pos="360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shd w:val="clear" w:color="auto" w:fill="ffffff"/>
              <w:tabs>
                <w:tab w:val="left" w:pos="360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СП 49.13330.2010 «Безопасность труда в строительстве» Часть 1. Общие требования. Приняты и введены в действие Постановлением Госстроя РФ от 23.07.2001 г. №80;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shd w:val="clear" w:color="auto" w:fill="ffffff"/>
              <w:tabs>
                <w:tab w:val="left" w:pos="360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СНиП 12-04-2002 «Безопасность труда в строительстве» Часть 2. Строительное производство». Приняты и введены в действие Постановлением Госстроя РФ от 17.09.2002 г. №123; 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Более подробно требования указаны в проекте договора подряда (в том числе в разде</w:t>
            </w:r>
            <w:r>
              <w:rPr>
                <w:i/>
                <w:sz w:val="20"/>
                <w:szCs w:val="20"/>
                <w:highlight w:val="white"/>
              </w:rPr>
              <w:t xml:space="preserve">2</w:t>
            </w:r>
            <w:r>
              <w:rPr>
                <w:i/>
                <w:sz w:val="20"/>
                <w:szCs w:val="20"/>
                <w:highlight w:val="white"/>
              </w:rPr>
              <w:t xml:space="preserve">), который включен в состав Документации о закупке</w:t>
            </w:r>
            <w:r>
              <w:rPr>
                <w:b/>
                <w:i/>
                <w:iCs/>
                <w:sz w:val="20"/>
                <w:szCs w:val="20"/>
                <w:highlight w:val="white"/>
              </w:rPr>
            </w:r>
            <w:r>
              <w:rPr>
                <w:b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b/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b/>
                <w:i/>
                <w:iCs/>
                <w:sz w:val="20"/>
                <w:szCs w:val="20"/>
                <w:highlight w:val="white"/>
              </w:rPr>
            </w:r>
            <w:r>
              <w:rPr>
                <w:b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2"/>
                <w:numId w:val="13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i/>
                <w:sz w:val="20"/>
                <w:szCs w:val="20"/>
                <w:highlight w:val="white"/>
              </w:rPr>
              <w:outlineLvl w:val="2"/>
            </w:pPr>
            <w:r/>
            <w:bookmarkStart w:id="53" w:name="_Toc129956747"/>
            <w:r/>
            <w:bookmarkStart w:id="54" w:name="_Toc142924515"/>
            <w:r>
              <w:rPr>
                <w:rFonts w:eastAsia="Calibri"/>
                <w:i/>
                <w:sz w:val="20"/>
                <w:szCs w:val="20"/>
                <w:highlight w:val="white"/>
              </w:rPr>
              <w:t xml:space="preserve">Соблюдение требований к пожарной безопасности</w:t>
            </w:r>
            <w:bookmarkEnd w:id="53"/>
            <w:r/>
            <w:bookmarkEnd w:id="54"/>
            <w:r>
              <w:rPr>
                <w:rFonts w:eastAsia="Calibri"/>
                <w:i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W w:w="6689" w:type="dxa"/>
            <w:textDirection w:val="lrTb"/>
            <w:noWrap w:val="false"/>
          </w:tcPr>
          <w:p>
            <w:pPr>
              <w:ind w:firstLine="283"/>
              <w:jc w:val="both"/>
              <w:widowControl w:val="off"/>
              <w:tabs>
                <w:tab w:val="left" w:pos="567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shd w:val="clear" w:color="auto" w:fill="ffffff"/>
              <w:tabs>
                <w:tab w:val="left" w:pos="360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iCs/>
                <w:sz w:val="22"/>
                <w:szCs w:val="22"/>
                <w:highlight w:val="white"/>
              </w:rPr>
              <w:t xml:space="preserve">Правила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shd w:val="clear" w:color="auto" w:fill="ffffff"/>
              <w:tabs>
                <w:tab w:val="left" w:pos="360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- №123-ФЗ от 22.07.2008 «Технический регламент о требованиях пожарной безопасности».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- ГОСТ 12.1.004-91* Система стандартов безопасности труда. Пожарная безопасность. Общие требования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contextualSpacing/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contextualSpacing/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contextualSpacing/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Ремонтная площадка должна быть оснащена средствами пожаротушения. 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pStyle w:val="1004"/>
              <w:ind w:left="0"/>
              <w:jc w:val="both"/>
              <w:tabs>
                <w:tab w:val="left" w:pos="256" w:leader="none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 случае</w:t>
            </w:r>
            <w:r>
              <w:rPr>
                <w:i/>
                <w:sz w:val="22"/>
                <w:szCs w:val="22"/>
              </w:rPr>
              <w:t xml:space="preserve">,</w:t>
            </w:r>
            <w:r>
              <w:rPr>
                <w:i/>
                <w:sz w:val="22"/>
                <w:szCs w:val="22"/>
              </w:rPr>
              <w:t xml:space="preserve"> если какой-либо из указанных нормативных документов был отменен в связи с выпуском новой редакции стандарта, то необходимо применять нормативный документ, принятый в его развитие 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i/>
                <w:sz w:val="20"/>
                <w:szCs w:val="20"/>
                <w:highlight w:val="white"/>
              </w:rPr>
            </w:r>
            <w:r>
              <w:rPr>
                <w:i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2"/>
                <w:numId w:val="13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i/>
                <w:sz w:val="20"/>
                <w:szCs w:val="20"/>
                <w:highlight w:val="white"/>
              </w:rPr>
              <w:outlineLvl w:val="2"/>
            </w:pPr>
            <w:r/>
            <w:bookmarkStart w:id="55" w:name="_Toc129956748"/>
            <w:r/>
            <w:bookmarkStart w:id="56" w:name="_Toc142924516"/>
            <w:r>
              <w:rPr>
                <w:rFonts w:eastAsia="Calibri"/>
                <w:i/>
                <w:sz w:val="20"/>
                <w:szCs w:val="20"/>
                <w:highlight w:val="white"/>
              </w:rPr>
              <w:t xml:space="preserve">Соблюдение требований к охране окружающей среды</w:t>
            </w:r>
            <w:bookmarkEnd w:id="55"/>
            <w:r/>
            <w:bookmarkEnd w:id="56"/>
            <w:r>
              <w:rPr>
                <w:rFonts w:eastAsia="Calibri"/>
                <w:i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W w:w="6689" w:type="dxa"/>
            <w:textDirection w:val="lrTb"/>
            <w:noWrap w:val="false"/>
          </w:tcPr>
          <w:p>
            <w:pPr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При выполнении всех строительных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Отходы, строительный мусор должны своевременно вывозиться для дальнейшей утилизации.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contextualSpacing/>
              <w:ind w:right="225"/>
              <w:jc w:val="both"/>
              <w:widowControl w:val="off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Мероприятия и работы по охране окружающей среды вести в соответствии: 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contextualSpacing/>
              <w:ind w:right="225"/>
              <w:jc w:val="both"/>
              <w:widowControl w:val="off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- Федеральный закон от 10.01.2002 № 7-ФЗ «Об охране окружающей среды» (ред. от 02.07.21);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contextualSpacing/>
              <w:ind w:right="225"/>
              <w:jc w:val="both"/>
              <w:widowControl w:val="off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- Федеральный закон от 04.05.1999 № 96-ФЗ «Об охране атмосферного воздуха» (ред. от 11.06.2021);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contextualSpacing/>
              <w:ind w:right="225"/>
              <w:jc w:val="both"/>
              <w:widowControl w:val="off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- Водный кодекс Российской Федерации;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contextualSpacing/>
              <w:ind w:right="225"/>
              <w:jc w:val="both"/>
              <w:widowControl w:val="off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- СП 34.13330.2012 «Автомобильные дороги. Актуализированная редакция СНиП 2.05.02-85*»;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contextualSpacing/>
              <w:ind w:right="225"/>
              <w:jc w:val="both"/>
              <w:widowControl w:val="off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- ОДН 218.5.016-2002 «Показатели и нормы экологической безопасности автомобильной дороги» - Распоряжение Минтранс РФ от 25.12.2020 №ИС-1147-р.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pStyle w:val="1004"/>
              <w:ind w:left="0"/>
              <w:jc w:val="both"/>
              <w:tabs>
                <w:tab w:val="left" w:pos="256" w:leader="none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стандарта, то необходимо применять нормативный документ, принятый в его развитие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i/>
                <w:sz w:val="20"/>
                <w:szCs w:val="20"/>
                <w:highlight w:val="white"/>
              </w:rPr>
            </w:r>
            <w:r>
              <w:rPr>
                <w:i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2"/>
                <w:numId w:val="13"/>
              </w:numPr>
              <w:contextualSpacing/>
              <w:ind w:hanging="1199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i/>
                <w:sz w:val="20"/>
                <w:szCs w:val="20"/>
                <w:highlight w:val="white"/>
              </w:rPr>
              <w:outlineLvl w:val="2"/>
            </w:pPr>
            <w:r/>
            <w:bookmarkStart w:id="57" w:name="_Toc129956749"/>
            <w:r/>
            <w:bookmarkStart w:id="58" w:name="_Toc142924517"/>
            <w:r>
              <w:rPr>
                <w:rFonts w:eastAsia="Calibri"/>
                <w:i/>
                <w:sz w:val="20"/>
                <w:szCs w:val="20"/>
                <w:highlight w:val="white"/>
              </w:rPr>
              <w:t xml:space="preserve">Соблюдение требований охраны труда</w:t>
            </w:r>
            <w:bookmarkEnd w:id="57"/>
            <w:r/>
            <w:bookmarkEnd w:id="58"/>
            <w:r>
              <w:rPr>
                <w:rFonts w:eastAsia="Calibri"/>
                <w:i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tcW w:w="6689" w:type="dxa"/>
            <w:textDirection w:val="lrTb"/>
            <w:noWrap w:val="false"/>
          </w:tcPr>
          <w:p>
            <w:pPr>
              <w:ind w:firstLine="430"/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 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ind w:firstLine="430"/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</w:t>
            </w:r>
            <w:r>
              <w:rPr>
                <w:iCs/>
                <w:sz w:val="22"/>
                <w:szCs w:val="22"/>
                <w:highlight w:val="white"/>
              </w:rPr>
              <w:t xml:space="preserve">внутриобъектового</w:t>
            </w:r>
            <w:r>
              <w:rPr>
                <w:iCs/>
                <w:sz w:val="22"/>
                <w:szCs w:val="22"/>
                <w:highlight w:val="white"/>
              </w:rPr>
              <w:t xml:space="preserve"> режима Заказчика. 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ind w:firstLine="430"/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строительно-монтажных работ. Для производства работ в охранной зоне необходимо получить наряд-допуск.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ind w:firstLine="283"/>
              <w:jc w:val="both"/>
              <w:widowControl w:val="off"/>
              <w:tabs>
                <w:tab w:val="left" w:pos="567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2"/>
              </w:numPr>
              <w:ind w:left="62" w:firstLine="0"/>
              <w:jc w:val="both"/>
              <w:widowControl w:val="off"/>
              <w:tabs>
                <w:tab w:val="left" w:pos="567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Правилах</w:t>
            </w:r>
            <w:r>
              <w:rPr>
                <w:iCs/>
                <w:sz w:val="22"/>
                <w:szCs w:val="22"/>
                <w:highlight w:val="white"/>
              </w:rPr>
              <w:t xml:space="preserve"> по охране труда при работе на высоте (утверждены приказом Министерства труда от 16.11.2020 №782н)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2"/>
              </w:numPr>
              <w:ind w:left="62" w:firstLine="0"/>
              <w:jc w:val="both"/>
              <w:widowControl w:val="off"/>
              <w:tabs>
                <w:tab w:val="left" w:pos="567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Правилах</w:t>
            </w:r>
            <w:r>
              <w:rPr>
                <w:iCs/>
                <w:sz w:val="22"/>
                <w:szCs w:val="22"/>
                <w:highlight w:val="white"/>
              </w:rPr>
              <w:t xml:space="preserve"> по охране труда при работе с инструментом и приспособлениями (утверждены приказом Министерства труда от 27.11.2020 № 835н);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2"/>
              </w:numPr>
              <w:ind w:left="62" w:firstLine="0"/>
              <w:jc w:val="both"/>
              <w:widowControl w:val="off"/>
              <w:tabs>
                <w:tab w:val="left" w:pos="567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Правилах</w:t>
            </w:r>
            <w:r>
              <w:rPr>
                <w:iCs/>
                <w:sz w:val="22"/>
                <w:szCs w:val="22"/>
                <w:highlight w:val="white"/>
              </w:rPr>
              <w:t xml:space="preserve">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2"/>
              </w:numPr>
              <w:ind w:left="62" w:firstLine="0"/>
              <w:jc w:val="both"/>
              <w:widowControl w:val="off"/>
              <w:tabs>
                <w:tab w:val="left" w:pos="567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Правилах</w:t>
            </w:r>
            <w:r>
              <w:rPr>
                <w:iCs/>
                <w:sz w:val="22"/>
                <w:szCs w:val="22"/>
                <w:highlight w:val="white"/>
              </w:rPr>
              <w:t xml:space="preserve"> по охране труда при эксплуатации электроустановок</w:t>
            </w:r>
            <w:r>
              <w:rPr>
                <w:iCs/>
                <w:sz w:val="22"/>
                <w:szCs w:val="22"/>
                <w:highlight w:val="white"/>
              </w:rPr>
              <w:t xml:space="preserve"> (в действующей редакции)</w:t>
            </w:r>
            <w:r>
              <w:rPr>
                <w:iCs/>
                <w:sz w:val="22"/>
                <w:szCs w:val="22"/>
                <w:highlight w:val="white"/>
              </w:rPr>
              <w:t xml:space="preserve">. 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2"/>
              </w:numPr>
              <w:contextualSpacing/>
              <w:ind w:left="62" w:firstLine="0"/>
              <w:jc w:val="both"/>
              <w:tabs>
                <w:tab w:val="left" w:pos="313" w:leader="none"/>
                <w:tab w:val="left" w:pos="413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 по охране труда при обработке металлов (утв. приказом Министерства труда и социальной защиты Российской Федерации от 11.12.2020г. №887н);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2"/>
              </w:numPr>
              <w:contextualSpacing/>
              <w:ind w:left="62" w:firstLine="0"/>
              <w:jc w:val="both"/>
              <w:tabs>
                <w:tab w:val="left" w:pos="313" w:leader="none"/>
                <w:tab w:val="left" w:pos="413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28.10.2020г. №753н);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2"/>
              </w:numPr>
              <w:contextualSpacing/>
              <w:ind w:left="62" w:firstLine="0"/>
              <w:jc w:val="both"/>
              <w:tabs>
                <w:tab w:val="left" w:pos="313" w:leader="none"/>
                <w:tab w:val="left" w:pos="413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 при эксплуатации промышленного транспорта (напольный безрельсовый колесный транспорт) (утв. приказом Министерства труда и социальной защиты Российской Федерации от 18.11.2020г. №814н);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2"/>
              </w:numPr>
              <w:contextualSpacing/>
              <w:ind w:left="62" w:firstLine="0"/>
              <w:jc w:val="both"/>
              <w:tabs>
                <w:tab w:val="left" w:pos="313" w:leader="none"/>
                <w:tab w:val="left" w:pos="413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Правила при выполнении электросварочных и газосварочных работ (утв. приказом Министерства труда и социальной защиты Российской Федерации от 11.12.2020г. №884н); 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12"/>
              </w:numPr>
              <w:contextualSpacing/>
              <w:ind w:left="62" w:firstLine="0"/>
              <w:jc w:val="both"/>
              <w:tabs>
                <w:tab w:val="left" w:pos="313" w:leader="none"/>
                <w:tab w:val="left" w:pos="413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</w:t>
            </w:r>
            <w:r>
              <w:rPr>
                <w:iCs/>
                <w:sz w:val="22"/>
                <w:szCs w:val="22"/>
                <w:highlight w:val="white"/>
              </w:rPr>
              <w:t xml:space="preserve">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26.11.2020г. №461).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pStyle w:val="1004"/>
              <w:ind w:left="0"/>
              <w:jc w:val="both"/>
              <w:tabs>
                <w:tab w:val="left" w:pos="256" w:leader="none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 случае</w:t>
            </w:r>
            <w:r>
              <w:rPr>
                <w:i/>
                <w:sz w:val="22"/>
                <w:szCs w:val="22"/>
              </w:rPr>
              <w:t xml:space="preserve">,</w:t>
            </w:r>
            <w:r>
              <w:rPr>
                <w:i/>
                <w:sz w:val="22"/>
                <w:szCs w:val="22"/>
              </w:rPr>
              <w:t xml:space="preserve"> если какой-либо из указанных нормативных документов был отменен в связи с выпуском новой редакции стандарта, то </w:t>
            </w:r>
            <w:r>
              <w:rPr>
                <w:i/>
                <w:sz w:val="22"/>
                <w:szCs w:val="22"/>
              </w:rPr>
              <w:t xml:space="preserve">необходимо применять нормативный документ, принятый в его развитие.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contextualSpacing/>
              <w:jc w:val="both"/>
              <w:tabs>
                <w:tab w:val="left" w:pos="572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Более подробно требования указаны в проекте договора подряда (в том числе в разделе № 2), который включен в состав Документации о закупке)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i/>
                <w:sz w:val="20"/>
                <w:szCs w:val="20"/>
                <w:highlight w:val="white"/>
              </w:rPr>
            </w:r>
            <w:r>
              <w:rPr>
                <w:i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contextualSpacing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tcW w:w="9070" w:type="dxa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Требования к результатам работ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tabs>
                <w:tab w:val="center" w:pos="1167" w:leader="none"/>
              </w:tabs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-//-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1"/>
                <w:numId w:val="13"/>
              </w:numPr>
              <w:contextualSpacing/>
              <w:ind w:left="-117" w:firstLine="142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tcW w:w="9070" w:type="dxa"/>
            <w:vAlign w:val="center"/>
            <w:textDirection w:val="lrTb"/>
            <w:noWrap w:val="false"/>
          </w:tcPr>
          <w:p>
            <w:pPr>
              <w:jc w:val="both"/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Общие требования к результатам работ </w:t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b/>
                <w:sz w:val="20"/>
                <w:szCs w:val="20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Состояние </w:t>
            </w:r>
            <w:r>
              <w:rPr>
                <w:bCs/>
                <w:sz w:val="22"/>
                <w:szCs w:val="22"/>
              </w:rPr>
              <w:t xml:space="preserve">кабельных трасс электрического цеха Нерюнгринской ГРЭС </w:t>
            </w:r>
            <w:r>
              <w:rPr>
                <w:bCs/>
                <w:sz w:val="22"/>
                <w:szCs w:val="22"/>
                <w:highlight w:val="white"/>
              </w:rPr>
              <w:t xml:space="preserve">после ремонта должно соответствовать требованиям нормативно-технической документации на ремонт в течение гарантийного срока.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13"/>
              </w:numPr>
              <w:contextualSpacing/>
              <w:ind w:left="0" w:firstLine="0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tcW w:w="9070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Требования к порядку приемки результатов работ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  <w:p>
            <w:pPr>
              <w:rPr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Подробно указаны в проекте договора подряда (в том числе в разделе №4), который включен в состав Документации о закупке</w:t>
            </w:r>
            <w:r>
              <w:rPr>
                <w:sz w:val="20"/>
                <w:szCs w:val="20"/>
                <w:highlight w:val="white"/>
              </w:rPr>
              <w:t xml:space="preserve">.</w:t>
            </w:r>
            <w:r>
              <w:rPr>
                <w:bCs/>
                <w:sz w:val="20"/>
                <w:szCs w:val="20"/>
                <w:highlight w:val="white"/>
              </w:rPr>
              <w:t xml:space="preserve"> 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 окончании выполнения работ провести оценку соответствия качества огнезащитной обработки с составлением соответствующего Акта. После проведения замеров целостность огнезащитного покрытия должна быть восстановлена.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b/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b/>
                <w:i/>
                <w:iCs/>
                <w:sz w:val="20"/>
                <w:szCs w:val="20"/>
                <w:highlight w:val="white"/>
              </w:rPr>
            </w:r>
            <w:r>
              <w:rPr>
                <w:b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1"/>
                <w:numId w:val="13"/>
              </w:numPr>
              <w:contextualSpacing/>
              <w:ind w:left="-117" w:firstLine="142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/>
            <w:bookmarkStart w:id="59" w:name="_Ref54002960"/>
            <w:r/>
            <w:bookmarkEnd w:id="59"/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tcW w:w="9070" w:type="dxa"/>
            <w:textDirection w:val="lrTb"/>
            <w:noWrap w:val="false"/>
          </w:tcPr>
          <w:p>
            <w:pPr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Требования к оформлению документации</w:t>
            </w:r>
            <w:r>
              <w:rPr>
                <w:i/>
                <w:iCs/>
                <w:sz w:val="20"/>
                <w:szCs w:val="20"/>
                <w:highlight w:val="white"/>
              </w:rPr>
              <w:t xml:space="preserve"> </w:t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  <w:p>
            <w:pPr>
              <w:contextualSpacing/>
              <w:ind w:left="310"/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-//-</w:t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2"/>
                <w:numId w:val="13"/>
              </w:numPr>
              <w:contextualSpacing/>
              <w:ind w:left="0" w:firstLine="34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W w:w="2409" w:type="dxa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sz w:val="20"/>
                <w:szCs w:val="20"/>
                <w:highlight w:val="white"/>
              </w:rPr>
              <w:outlineLvl w:val="2"/>
            </w:pPr>
            <w:r/>
            <w:bookmarkStart w:id="60" w:name="_Toc129956750"/>
            <w:r/>
            <w:bookmarkStart w:id="61" w:name="_Toc142924518"/>
            <w:r>
              <w:rPr>
                <w:rFonts w:eastAsia="Calibri"/>
                <w:i/>
                <w:sz w:val="20"/>
                <w:szCs w:val="20"/>
                <w:highlight w:val="white"/>
              </w:rPr>
              <w:t xml:space="preserve">Общие требования к оформлению документации</w:t>
            </w:r>
            <w:bookmarkEnd w:id="60"/>
            <w:r/>
            <w:bookmarkEnd w:id="61"/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W w:w="6661" w:type="dxa"/>
            <w:textDirection w:val="lrTb"/>
            <w:noWrap w:val="false"/>
          </w:tcPr>
          <w:p>
            <w:pPr>
              <w:ind w:left="27"/>
              <w:jc w:val="both"/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Представить Заказчику электронные версии Акта </w:t>
            </w:r>
            <w:r>
              <w:rPr>
                <w:iCs/>
                <w:sz w:val="22"/>
                <w:szCs w:val="22"/>
                <w:highlight w:val="white"/>
              </w:rPr>
              <w:br/>
              <w:t xml:space="preserve">КС-2 и Справки КС-3 на цифровом носителе в формате *</w:t>
            </w:r>
            <w:r>
              <w:rPr>
                <w:iCs/>
                <w:sz w:val="22"/>
                <w:szCs w:val="22"/>
                <w:highlight w:val="white"/>
              </w:rPr>
              <w:t xml:space="preserve">gsfx</w:t>
            </w:r>
            <w:r>
              <w:rPr>
                <w:iCs/>
                <w:sz w:val="22"/>
                <w:szCs w:val="22"/>
                <w:highlight w:val="white"/>
              </w:rPr>
              <w:t xml:space="preserve"> ПК «ГРАНД Сметы», в формате *.</w:t>
            </w:r>
            <w:r>
              <w:rPr>
                <w:iCs/>
                <w:sz w:val="22"/>
                <w:szCs w:val="22"/>
                <w:highlight w:val="white"/>
              </w:rPr>
              <w:t xml:space="preserve">pdf</w:t>
            </w:r>
            <w:r>
              <w:rPr>
                <w:iCs/>
                <w:sz w:val="22"/>
                <w:szCs w:val="22"/>
                <w:highlight w:val="white"/>
              </w:rPr>
              <w:t xml:space="preserve">) и на бумажном носителе в 3-х экземплярах, исполнительную документацию в электронном виде (в формате *.</w:t>
            </w:r>
            <w:r>
              <w:rPr>
                <w:iCs/>
                <w:sz w:val="22"/>
                <w:szCs w:val="22"/>
                <w:highlight w:val="white"/>
              </w:rPr>
              <w:t xml:space="preserve">pdf</w:t>
            </w:r>
            <w:r>
              <w:rPr>
                <w:iCs/>
                <w:sz w:val="22"/>
                <w:szCs w:val="22"/>
                <w:highlight w:val="white"/>
              </w:rPr>
              <w:t xml:space="preserve">) и на бумажном носителе в 3-х экземплярах. </w:t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2"/>
                <w:numId w:val="13"/>
              </w:numPr>
              <w:contextualSpacing/>
              <w:ind w:left="34" w:firstLine="0"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W w:w="2409" w:type="dxa"/>
            <w:textDirection w:val="lrTb"/>
            <w:noWrap w:val="false"/>
          </w:tcPr>
          <w:p>
            <w:pPr>
              <w:rPr>
                <w:b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sz w:val="20"/>
                <w:szCs w:val="20"/>
                <w:highlight w:val="white"/>
              </w:rPr>
              <w:t xml:space="preserve">Состав документации включает в себя, но не ограничивается следующими документами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W w:w="6661" w:type="dxa"/>
            <w:textDirection w:val="lrTb"/>
            <w:noWrap w:val="false"/>
          </w:tcPr>
          <w:p>
            <w:pPr>
              <w:ind w:left="27"/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Подрядчик одновременно с передачей актов приемки выполненны</w:t>
            </w:r>
            <w:r>
              <w:rPr>
                <w:iCs/>
                <w:sz w:val="22"/>
                <w:szCs w:val="22"/>
                <w:highlight w:val="white"/>
              </w:rPr>
              <w:t xml:space="preserve">х работ по форме КС-2 обязан оформить и передать Заказчику сдаточную документацию в соответствии с 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</w:t>
            </w:r>
            <w:r>
              <w:rPr>
                <w:iCs/>
                <w:sz w:val="22"/>
                <w:szCs w:val="22"/>
                <w:highlight w:val="white"/>
              </w:rPr>
              <w:t xml:space="preserve">.», </w:t>
            </w:r>
            <w:r>
              <w:rPr>
                <w:iCs/>
                <w:sz w:val="22"/>
                <w:szCs w:val="22"/>
                <w:highlight w:val="white"/>
              </w:rPr>
              <w:t xml:space="preserve">утвержденным приказом № 555 от 29.11.2019 г. АО «ДГК»</w:t>
            </w:r>
            <w:r>
              <w:rPr>
                <w:iCs/>
                <w:sz w:val="22"/>
                <w:szCs w:val="22"/>
                <w:highlight w:val="white"/>
              </w:rPr>
              <w:t xml:space="preserve">: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Общий журнал работ;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Акты </w:t>
            </w:r>
            <w:r>
              <w:rPr>
                <w:sz w:val="24"/>
                <w:szCs w:val="24"/>
                <w:highlight w:val="white"/>
              </w:rPr>
              <w:t xml:space="preserve">дефектации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Акты о выявленных дефектах;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Акты приёмки;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Приказ о назначении ответственных лиц при производстве работ;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tabs>
                <w:tab w:val="left" w:pos="142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Журнал входного контроля материалов и оборудования;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tabs>
                <w:tab w:val="left" w:pos="142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-Акты входного контроля количества, качества и комплектности продукции;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Проект производства работ;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tabs>
                <w:tab w:val="left" w:pos="284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Перечень организаций, участвовавших в производстве строительно-монтажных работ (при наличии);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tabs>
                <w:tab w:val="left" w:pos="284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Акты освидетельствования скрытых работ с указанием технических характеристик материалов и ссылками на документы, подтверждающие их качество (при наличии);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tabs>
                <w:tab w:val="left" w:pos="284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Сертификаты и паспорта на материалы;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Исполнительные схемы, формуляры.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специальные журналы (при необходимости)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лицензию на </w:t>
            </w:r>
            <w:r>
              <w:rPr>
                <w:sz w:val="24"/>
                <w:szCs w:val="24"/>
                <w:highlight w:val="white"/>
              </w:rPr>
              <w:t xml:space="preserve">выполнение работ по огнезащите материалов, изделий и конструкций, выданную Министерством Российской Федерации по делам гражданской обороны, чрезвычайным ситуациям и ликвидации последствий стихийных бедствий.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b/>
                <w:i/>
                <w:sz w:val="20"/>
                <w:szCs w:val="20"/>
                <w:highlight w:val="white"/>
              </w:rPr>
            </w:pPr>
            <w:r>
              <w:rPr>
                <w:i/>
                <w:iCs/>
                <w:sz w:val="20"/>
                <w:szCs w:val="22"/>
                <w:highlight w:val="white"/>
              </w:rPr>
              <w:t xml:space="preserve">Более подробно требования к оформлению документации  указаны в проекте договора подряда (в том числе в разделах №2,4), который включен в состав Документации о закупке.</w:t>
            </w:r>
            <w:r>
              <w:rPr>
                <w:b/>
                <w:i/>
                <w:sz w:val="20"/>
                <w:szCs w:val="20"/>
                <w:highlight w:val="white"/>
              </w:rPr>
            </w:r>
            <w:r>
              <w:rPr>
                <w:b/>
                <w:i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contextualSpacing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tcW w:w="9070" w:type="dxa"/>
            <w:vAlign w:val="center"/>
            <w:textDirection w:val="lrTb"/>
            <w:noWrap w:val="false"/>
          </w:tcPr>
          <w:p>
            <w:pPr>
              <w:spacing w:before="40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</w:t>
            </w:r>
            <w:r>
              <w:rPr>
                <w:b/>
                <w:sz w:val="20"/>
                <w:szCs w:val="20"/>
                <w:highlight w:val="white"/>
              </w:rPr>
              <w:t xml:space="preserve">ТТ</w:t>
            </w:r>
            <w:r>
              <w:rPr>
                <w:b/>
                <w:sz w:val="20"/>
                <w:szCs w:val="20"/>
                <w:highlight w:val="white"/>
              </w:rPr>
              <w:t xml:space="preserve">)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iCs/>
                <w:sz w:val="22"/>
                <w:szCs w:val="22"/>
                <w:highlight w:val="white"/>
              </w:rPr>
            </w:pPr>
            <w:r>
              <w:rPr>
                <w:bCs/>
                <w:iCs/>
                <w:sz w:val="22"/>
                <w:szCs w:val="22"/>
                <w:highlight w:val="white"/>
              </w:rPr>
              <w:t xml:space="preserve">Перечень национальных стандартов и сводов правил (частей таких станда</w:t>
            </w:r>
            <w:r>
              <w:rPr>
                <w:bCs/>
                <w:iCs/>
                <w:sz w:val="22"/>
                <w:szCs w:val="22"/>
                <w:highlight w:val="white"/>
              </w:rPr>
              <w:t xml:space="preserve">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 (утв. Постановлением Правительства РФ от 28 мая 2021 г. N815);</w:t>
            </w:r>
            <w:r>
              <w:rPr>
                <w:bCs/>
                <w:iCs/>
                <w:sz w:val="22"/>
                <w:szCs w:val="22"/>
                <w:highlight w:val="white"/>
              </w:rPr>
            </w:r>
            <w:r>
              <w:rPr>
                <w:bCs/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iCs/>
                <w:sz w:val="22"/>
                <w:szCs w:val="22"/>
                <w:highlight w:val="white"/>
              </w:rPr>
            </w:pPr>
            <w:r>
              <w:rPr>
                <w:bCs/>
                <w:iCs/>
                <w:sz w:val="22"/>
                <w:szCs w:val="22"/>
                <w:highlight w:val="white"/>
              </w:rPr>
              <w:t xml:space="preserve">Федеральный законом «О техническом регулировании» №184- ФЗ от 27.12.2002;</w:t>
            </w:r>
            <w:r>
              <w:rPr>
                <w:bCs/>
                <w:iCs/>
                <w:sz w:val="22"/>
                <w:szCs w:val="22"/>
                <w:highlight w:val="white"/>
              </w:rPr>
            </w:r>
            <w:r>
              <w:rPr>
                <w:bCs/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widowControl w:val="off"/>
              <w:tabs>
                <w:tab w:val="left" w:pos="426" w:leader="none"/>
              </w:tabs>
              <w:rPr>
                <w:rStyle w:val="1066"/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"Правила промышленной безопасности при использовании оборудования, работающего под избыточным давлением"</w:t>
            </w:r>
            <w:r>
              <w:rPr>
                <w:rStyle w:val="1066"/>
                <w:color w:val="000000" w:themeColor="text1"/>
                <w:sz w:val="22"/>
                <w:szCs w:val="22"/>
                <w:highlight w:val="white"/>
              </w:rPr>
              <w:t xml:space="preserve"> утвержденные приказом Федеральной службой по экологическому, технологическому и атомному надзору от 15.12.2020 г. №536</w:t>
            </w:r>
            <w:r>
              <w:rPr>
                <w:rStyle w:val="1066"/>
                <w:color w:val="000000"/>
                <w:sz w:val="22"/>
                <w:szCs w:val="22"/>
                <w:highlight w:val="white"/>
              </w:rPr>
            </w:r>
            <w:r>
              <w:rPr>
                <w:rStyle w:val="1066"/>
                <w:color w:val="000000"/>
                <w:sz w:val="22"/>
                <w:szCs w:val="22"/>
                <w:highlight w:val="white"/>
              </w:rPr>
            </w:r>
          </w:p>
          <w:p>
            <w:pPr>
              <w:jc w:val="both"/>
              <w:widowControl w:val="off"/>
              <w:tabs>
                <w:tab w:val="left" w:pos="426" w:leader="none"/>
              </w:tabs>
              <w:rPr>
                <w:bCs/>
                <w:i/>
                <w:iCs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"Правила безопасности опасных производственных объектов, на которых используются подъемные сооружения" </w:t>
            </w:r>
            <w:r>
              <w:rPr>
                <w:rStyle w:val="1066"/>
                <w:color w:val="000000" w:themeColor="text1"/>
                <w:sz w:val="22"/>
                <w:szCs w:val="22"/>
                <w:highlight w:val="white"/>
              </w:rPr>
              <w:t xml:space="preserve">утвержденные приказом Федеральной службой по экологическому и атомному надзору от 26.11.2020 г. № 461.</w:t>
            </w:r>
            <w:r>
              <w:rPr>
                <w:bCs/>
                <w:i/>
                <w:iCs/>
                <w:sz w:val="20"/>
                <w:szCs w:val="20"/>
                <w:highlight w:val="white"/>
              </w:rPr>
            </w:r>
            <w:r>
              <w:rPr>
                <w:bCs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b/>
                <w:bCs/>
                <w:i/>
                <w:iCs/>
                <w:sz w:val="20"/>
                <w:szCs w:val="20"/>
                <w:highlight w:val="white"/>
              </w:rPr>
            </w:r>
            <w:r>
              <w:rPr>
                <w:b/>
                <w:bCs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contextualSpacing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tcW w:w="9070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  <w:p>
            <w:pPr>
              <w:rPr>
                <w:bCs/>
                <w:i/>
                <w:sz w:val="20"/>
                <w:szCs w:val="20"/>
                <w:highlight w:val="white"/>
              </w:rPr>
            </w:pPr>
            <w:r>
              <w:rPr>
                <w:rFonts w:eastAsia="Courier New"/>
                <w:i/>
                <w:color w:val="000000"/>
                <w:sz w:val="20"/>
                <w:szCs w:val="20"/>
                <w:highlight w:val="white"/>
                <w:lang w:bidi="ru-RU"/>
              </w:rPr>
              <w:t xml:space="preserve">Подробно требования к сроку и объему предоставления гарантий указаны в проекте договора подряда </w:t>
            </w:r>
            <w:r>
              <w:rPr>
                <w:rFonts w:eastAsia="Courier New"/>
                <w:i/>
                <w:iCs/>
                <w:color w:val="000000"/>
                <w:sz w:val="20"/>
                <w:szCs w:val="20"/>
                <w:highlight w:val="white"/>
                <w:lang w:bidi="ru-RU"/>
              </w:rPr>
              <w:t xml:space="preserve">(в том числе в разделе №7</w:t>
            </w:r>
            <w:r>
              <w:rPr>
                <w:rFonts w:eastAsia="Courier New"/>
                <w:i/>
                <w:color w:val="000000"/>
                <w:sz w:val="20"/>
                <w:szCs w:val="20"/>
                <w:highlight w:val="white"/>
                <w:lang w:bidi="ru-RU"/>
              </w:rPr>
              <w:t xml:space="preserve">), который включен в состав Документации о закупке.</w:t>
            </w:r>
            <w:r>
              <w:rPr>
                <w:bCs/>
                <w:i/>
                <w:sz w:val="20"/>
                <w:szCs w:val="20"/>
                <w:highlight w:val="white"/>
              </w:rPr>
            </w:r>
            <w:r>
              <w:rPr>
                <w:bCs/>
                <w:i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b/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b/>
                <w:i/>
                <w:iCs/>
                <w:sz w:val="20"/>
                <w:szCs w:val="20"/>
                <w:highlight w:val="white"/>
              </w:rPr>
            </w:r>
            <w:r>
              <w:rPr>
                <w:b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</w:r>
            <w:r>
              <w:rPr>
                <w:b/>
                <w:i/>
                <w:iCs/>
                <w:sz w:val="20"/>
                <w:szCs w:val="20"/>
              </w:rPr>
            </w:r>
            <w:r>
              <w:rPr>
                <w:b/>
                <w:i/>
                <w:iCs/>
                <w:sz w:val="20"/>
                <w:szCs w:val="20"/>
              </w:rPr>
            </w:r>
          </w:p>
        </w:tc>
      </w:tr>
      <w:tr>
        <w:tblPrEx/>
        <w:trPr>
          <w:trHeight w:val="603"/>
        </w:trPr>
        <w:tc>
          <w:tcPr>
            <w:tcW w:w="1560" w:type="dxa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contextualSpacing/>
              <w:jc w:val="center"/>
              <w:spacing w:before="60" w:after="60"/>
              <w:rPr>
                <w:rFonts w:eastAsia="Calibri"/>
                <w:i/>
                <w:iCs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tcW w:w="9070" w:type="dxa"/>
            <w:vAlign w:val="center"/>
            <w:textDirection w:val="lrTb"/>
            <w:noWrap w:val="false"/>
          </w:tcPr>
          <w:p>
            <w:pPr>
              <w:keepNext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  <w:p>
            <w:pPr>
              <w:jc w:val="both"/>
              <w:rPr>
                <w:i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Требования к субподрядным организациям, привлекаемым к выполнению работ:</w:t>
            </w:r>
            <w:r>
              <w:rPr>
                <w:i/>
                <w:sz w:val="20"/>
                <w:szCs w:val="20"/>
                <w:highlight w:val="white"/>
              </w:rPr>
            </w:r>
            <w:r>
              <w:rPr>
                <w:i/>
                <w:sz w:val="20"/>
                <w:szCs w:val="20"/>
                <w:highlight w:val="white"/>
              </w:rPr>
            </w:r>
          </w:p>
          <w:p>
            <w:pPr>
              <w:widowControl w:val="off"/>
              <w:tabs>
                <w:tab w:val="left" w:pos="426" w:leader="none"/>
              </w:tabs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Подробно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Согласие с требованием</w:t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</w:p>
        </w:tc>
        <w:tc>
          <w:tcPr>
            <w:tcW w:w="226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spacing w:after="120"/>
        <w:rPr>
          <w:i/>
          <w:iCs/>
          <w:sz w:val="22"/>
          <w:szCs w:val="22"/>
          <w:highlight w:val="white"/>
          <w:shd w:val="clear" w:color="auto" w:fill="ffff99"/>
        </w:rPr>
      </w:pPr>
      <w:r>
        <w:rPr>
          <w:i/>
          <w:iCs/>
          <w:sz w:val="22"/>
          <w:szCs w:val="22"/>
          <w:highlight w:val="white"/>
          <w:shd w:val="clear" w:color="auto" w:fill="ffff99"/>
        </w:rPr>
      </w:r>
      <w:r>
        <w:rPr>
          <w:i/>
          <w:iCs/>
          <w:sz w:val="22"/>
          <w:szCs w:val="22"/>
          <w:highlight w:val="white"/>
          <w:shd w:val="clear" w:color="auto" w:fill="ffff99"/>
        </w:rPr>
      </w:r>
      <w:r>
        <w:rPr>
          <w:i/>
          <w:iCs/>
          <w:sz w:val="22"/>
          <w:szCs w:val="22"/>
          <w:highlight w:val="white"/>
          <w:shd w:val="clear" w:color="auto" w:fill="ffff99"/>
        </w:rPr>
      </w:r>
    </w:p>
    <w:p>
      <w:pPr>
        <w:jc w:val="center"/>
        <w:rPr>
          <w:b/>
          <w:i/>
          <w:sz w:val="24"/>
          <w:szCs w:val="24"/>
          <w:highlight w:val="white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b/>
          <w:i/>
          <w:sz w:val="24"/>
          <w:szCs w:val="24"/>
          <w:highlight w:val="white"/>
        </w:rPr>
      </w:r>
      <w:r>
        <w:rPr>
          <w:b/>
          <w:i/>
          <w:sz w:val="24"/>
          <w:szCs w:val="24"/>
          <w:highlight w:val="white"/>
        </w:rPr>
      </w:r>
      <w:r>
        <w:rPr>
          <w:b/>
          <w:i/>
          <w:sz w:val="24"/>
          <w:szCs w:val="24"/>
          <w:highlight w:val="white"/>
        </w:rPr>
      </w:r>
    </w:p>
    <w:p>
      <w:pPr>
        <w:pStyle w:val="772"/>
        <w:ind w:left="0" w:firstLine="0"/>
        <w:jc w:val="both"/>
        <w:spacing w:before="0" w:beforeAutospacing="0" w:after="0" w:afterAutospacing="0"/>
        <w:rPr>
          <w:b/>
          <w:bCs/>
          <w:sz w:val="24"/>
          <w:szCs w:val="24"/>
          <w:highlight w:val="white"/>
        </w:rPr>
        <w:suppressLineNumbers w:val="0"/>
      </w:pPr>
      <w:r>
        <w:rPr>
          <w:b/>
          <w:bCs/>
          <w:sz w:val="24"/>
          <w:szCs w:val="24"/>
        </w:rPr>
      </w:r>
      <w:bookmarkStart w:id="62" w:name="_Toc53393312"/>
      <w:r>
        <w:rPr>
          <w:b/>
          <w:bCs/>
          <w:sz w:val="24"/>
          <w:szCs w:val="24"/>
        </w:rPr>
      </w:r>
      <w:bookmarkStart w:id="63" w:name="_Toc54646411"/>
      <w:r>
        <w:rPr>
          <w:b/>
          <w:bCs/>
          <w:sz w:val="24"/>
          <w:szCs w:val="24"/>
        </w:rPr>
      </w:r>
      <w:bookmarkStart w:id="64" w:name="_Toc129956751"/>
      <w:r>
        <w:rPr>
          <w:b/>
          <w:bCs/>
          <w:sz w:val="24"/>
          <w:szCs w:val="24"/>
        </w:rPr>
      </w:r>
      <w:bookmarkStart w:id="65" w:name="_Toc142924519"/>
      <w:r>
        <w:rPr>
          <w:b/>
          <w:bCs/>
          <w:sz w:val="24"/>
          <w:szCs w:val="24"/>
        </w:rPr>
      </w:r>
      <w:bookmarkStart w:id="66" w:name="_Toc46743519"/>
      <w:r>
        <w:rPr>
          <w:b/>
          <w:bCs/>
          <w:sz w:val="24"/>
          <w:szCs w:val="24"/>
        </w:rPr>
      </w:r>
      <w:bookmarkStart w:id="67" w:name="_Toc51339699"/>
      <w:r>
        <w:rPr>
          <w:b/>
          <w:bCs/>
          <w:sz w:val="24"/>
          <w:szCs w:val="24"/>
          <w:highlight w:val="white"/>
        </w:rPr>
        <w:t xml:space="preserve">Требования к документации по ценообразованию</w:t>
      </w:r>
      <w:bookmarkEnd w:id="62"/>
      <w:r>
        <w:rPr>
          <w:b/>
          <w:bCs/>
          <w:sz w:val="24"/>
          <w:szCs w:val="24"/>
        </w:rPr>
      </w:r>
      <w:bookmarkEnd w:id="63"/>
      <w:r>
        <w:rPr>
          <w:b/>
          <w:bCs/>
          <w:sz w:val="24"/>
          <w:szCs w:val="24"/>
        </w:rPr>
      </w:r>
      <w:bookmarkEnd w:id="64"/>
      <w:r>
        <w:rPr>
          <w:b/>
          <w:bCs/>
          <w:sz w:val="24"/>
          <w:szCs w:val="24"/>
          <w:highlight w:val="white"/>
        </w:rPr>
        <w:t xml:space="preserve"> на этапе закупки</w:t>
      </w:r>
      <w:bookmarkEnd w:id="65"/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0"/>
        <w:jc w:val="both"/>
        <w:spacing w:before="0" w:beforeAutospacing="0" w:after="0" w:afterAutospacing="0"/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772"/>
        <w:numPr>
          <w:ilvl w:val="0"/>
          <w:numId w:val="0"/>
        </w:numPr>
        <w:ind w:left="0" w:firstLine="709"/>
        <w:rPr>
          <w:b w:val="0"/>
          <w:sz w:val="24"/>
          <w:szCs w:val="24"/>
        </w:rPr>
        <w:suppressLineNumbers w:val="0"/>
      </w:pPr>
      <w:r/>
      <w:bookmarkStart w:id="0" w:name="undefined"/>
      <w:r>
        <w:rPr>
          <w:b w:val="0"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</w:t>
      </w:r>
      <w:bookmarkEnd w:id="0"/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775"/>
        <w:numPr>
          <w:ilvl w:val="0"/>
          <w:numId w:val="0"/>
        </w:numPr>
        <w:ind w:left="0" w:firstLine="709"/>
        <w:spacing w:before="0" w:beforeAutospacing="0" w:after="0" w:afterAutospacing="0"/>
        <w:rPr>
          <w:b w:val="0"/>
        </w:rPr>
        <w:suppressLineNumbers w:val="0"/>
      </w:pPr>
      <w:r/>
      <w:bookmarkStart w:id="0" w:name="undefined"/>
      <w:r>
        <w:rPr>
          <w:b w:val="0"/>
        </w:rPr>
        <w:t xml:space="preserve">Стоимость предложений участников определяется по формуле:</w:t>
      </w:r>
      <w:bookmarkEnd w:id="0"/>
      <w:r>
        <w:rPr>
          <w:b w:val="0"/>
        </w:rPr>
      </w:r>
      <w:r>
        <w:rPr>
          <w:b w:val="0"/>
        </w:rPr>
      </w:r>
    </w:p>
    <w:p>
      <w:pPr>
        <w:pStyle w:val="775"/>
        <w:numPr>
          <w:ilvl w:val="0"/>
          <w:numId w:val="0"/>
        </w:numPr>
        <w:ind w:left="0" w:firstLine="709"/>
        <w:spacing w:before="0" w:beforeAutospacing="0" w:after="0" w:afterAutospacing="0"/>
        <w:rPr>
          <w:b w:val="0"/>
        </w:rPr>
        <w:suppressLineNumbers w:val="0"/>
      </w:pPr>
      <w:r/>
      <w:bookmarkStart w:id="0" w:name="undefined"/>
      <w:r>
        <w:rPr>
          <w:b w:val="0"/>
        </w:rPr>
        <w:t xml:space="preserve">P=N*k,</w:t>
      </w:r>
      <w:bookmarkEnd w:id="0"/>
      <w:r>
        <w:rPr>
          <w:b w:val="0"/>
        </w:rPr>
      </w:r>
      <w:r>
        <w:rPr>
          <w:b w:val="0"/>
        </w:rPr>
      </w:r>
    </w:p>
    <w:p>
      <w:pPr>
        <w:pStyle w:val="775"/>
        <w:numPr>
          <w:ilvl w:val="0"/>
          <w:numId w:val="0"/>
        </w:numPr>
        <w:ind w:left="0" w:firstLine="709"/>
        <w:spacing w:before="0" w:beforeAutospacing="0" w:after="0" w:afterAutospacing="0"/>
        <w:rPr>
          <w:b w:val="0"/>
        </w:rPr>
        <w:suppressLineNumbers w:val="0"/>
      </w:pPr>
      <w:r/>
      <w:bookmarkStart w:id="0" w:name="undefined"/>
      <w:r>
        <w:rPr>
          <w:b w:val="0"/>
        </w:rPr>
        <w:t xml:space="preserve">где P – стоимость предложения участника;</w:t>
      </w:r>
      <w:bookmarkEnd w:id="0"/>
      <w:r>
        <w:rPr>
          <w:b w:val="0"/>
        </w:rPr>
      </w:r>
      <w:r>
        <w:rPr>
          <w:b w:val="0"/>
        </w:rPr>
      </w:r>
    </w:p>
    <w:p>
      <w:pPr>
        <w:pStyle w:val="775"/>
        <w:numPr>
          <w:ilvl w:val="0"/>
          <w:numId w:val="0"/>
        </w:numPr>
        <w:ind w:left="0" w:firstLine="709"/>
        <w:spacing w:before="0" w:beforeAutospacing="0" w:after="0" w:afterAutospacing="0"/>
        <w:rPr>
          <w:b w:val="0"/>
          <w:bCs w:val="0"/>
        </w:rPr>
        <w:suppressLineNumbers w:val="0"/>
      </w:pPr>
      <w:r/>
      <w:bookmarkStart w:id="0" w:name="undefined"/>
      <w:r>
        <w:rPr>
          <w:b w:val="0"/>
        </w:rPr>
        <w:t xml:space="preserve">N – 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 (приложение № 4 к ТТ);</w:t>
      </w:r>
      <w:bookmarkEnd w:id="0"/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775"/>
        <w:numPr>
          <w:ilvl w:val="0"/>
          <w:numId w:val="0"/>
        </w:numPr>
        <w:ind w:left="0" w:firstLine="709"/>
        <w:spacing w:before="0" w:beforeAutospacing="0" w:after="0" w:afterAutospacing="0"/>
        <w:rPr>
          <w:b w:val="0"/>
          <w:bCs w:val="0"/>
        </w:rPr>
        <w:suppressLineNumbers w:val="0"/>
      </w:pPr>
      <w:r>
        <w:rPr>
          <w:b w:val="0"/>
        </w:rPr>
      </w:r>
      <w:bookmarkStart w:id="103" w:name="_Toc27"/>
      <w:r>
        <w:rPr>
          <w:b w:val="0"/>
        </w:rPr>
        <w:t xml:space="preserve">k – понижающий коэффици</w:t>
      </w:r>
      <w:r>
        <w:rPr>
          <w:b w:val="0"/>
        </w:rPr>
        <w:t xml:space="preserve">ент, заявленный участником в расчете цены заявки, величину данного коэффициента рекомендуется учитывать с округлением до 7 знаков после запятой.3.2. Дополнительные документы по ценообразованию (сметная документация) в состав заявки Участника не включаются.</w:t>
      </w:r>
      <w:r>
        <w:rPr>
          <w:b w:val="0"/>
        </w:rPr>
        <w:t xml:space="preserve">».</w:t>
      </w:r>
      <w:bookmarkEnd w:id="103"/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775"/>
        <w:numPr>
          <w:ilvl w:val="0"/>
          <w:numId w:val="0"/>
        </w:numPr>
        <w:ind w:left="0" w:firstLine="0"/>
        <w:jc w:val="both"/>
        <w:spacing w:before="0" w:beforeAutospacing="0" w:after="0" w:afterAutospacing="0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75"/>
        <w:numPr>
          <w:ilvl w:val="0"/>
          <w:numId w:val="0"/>
        </w:numPr>
      </w:pPr>
      <w:r/>
      <w:r/>
    </w:p>
    <w:p>
      <w:pPr>
        <w:pStyle w:val="775"/>
        <w:numPr>
          <w:ilvl w:val="0"/>
          <w:numId w:val="0"/>
        </w:numPr>
      </w:pPr>
      <w:r>
        <w:rPr>
          <w:highlight w:val="white"/>
        </w:rPr>
        <w:br w:type="page" w:clear="all"/>
      </w:r>
      <w:r/>
    </w:p>
    <w:p>
      <w:pPr>
        <w:pStyle w:val="772"/>
        <w:ind w:left="567" w:hanging="567"/>
        <w:jc w:val="both"/>
        <w:spacing w:before="0" w:beforeAutospacing="0" w:after="0" w:afterAutospacing="0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</w:rPr>
      </w:r>
      <w:bookmarkStart w:id="78" w:name="_Toc54646412"/>
      <w:r>
        <w:rPr>
          <w:b/>
          <w:bCs/>
          <w:sz w:val="24"/>
          <w:szCs w:val="24"/>
        </w:rPr>
      </w:r>
      <w:bookmarkStart w:id="79" w:name="_Toc129956755"/>
      <w:r>
        <w:rPr>
          <w:b/>
          <w:bCs/>
          <w:sz w:val="24"/>
          <w:szCs w:val="24"/>
        </w:rPr>
      </w:r>
      <w:bookmarkStart w:id="80" w:name="_Toc142924522"/>
      <w:r>
        <w:rPr>
          <w:b/>
          <w:bCs/>
          <w:sz w:val="24"/>
          <w:szCs w:val="24"/>
          <w:highlight w:val="white"/>
        </w:rPr>
        <w:t xml:space="preserve">Требования к документации по ценообразованию на этапе заключения (исполнения) договора</w:t>
      </w:r>
      <w:bookmarkEnd w:id="78"/>
      <w:r>
        <w:rPr>
          <w:b/>
          <w:bCs/>
          <w:sz w:val="24"/>
          <w:szCs w:val="24"/>
        </w:rPr>
      </w:r>
      <w:bookmarkEnd w:id="79"/>
      <w:r>
        <w:rPr>
          <w:b/>
          <w:bCs/>
          <w:sz w:val="24"/>
          <w:szCs w:val="24"/>
        </w:rPr>
      </w:r>
      <w:bookmarkEnd w:id="80"/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r/>
      <w:r/>
    </w:p>
    <w:p>
      <w:pPr>
        <w:pStyle w:val="775"/>
        <w:ind w:left="709" w:right="0" w:firstLine="0"/>
        <w:spacing w:before="0" w:beforeAutospacing="0" w:after="0" w:afterAutospacing="0"/>
        <w:rPr>
          <w:b w:val="0"/>
        </w:rPr>
        <w:suppressLineNumbers w:val="0"/>
      </w:pPr>
      <w:r/>
      <w:bookmarkStart w:id="0" w:name="undefined"/>
      <w:r>
        <w:rPr>
          <w:b w:val="0"/>
        </w:rPr>
        <w:t xml:space="preserve">Требования к составлению сметной документации (при заключении договора):</w:t>
      </w:r>
      <w:bookmarkEnd w:id="0"/>
      <w:r>
        <w:rPr>
          <w:b w:val="0"/>
        </w:rPr>
      </w:r>
      <w:r>
        <w:rPr>
          <w:b w:val="0"/>
        </w:rPr>
      </w:r>
    </w:p>
    <w:p>
      <w:pPr>
        <w:pStyle w:val="774"/>
        <w:ind w:left="0" w:firstLine="709"/>
        <w:spacing w:before="0" w:beforeAutospacing="0" w:after="0" w:afterAutospacing="0"/>
        <w:rPr>
          <w:b w:val="0"/>
          <w:highlight w:val="none"/>
        </w:rPr>
        <w:suppressLineNumbers w:val="0"/>
      </w:pPr>
      <w:r>
        <w:rPr>
          <w:highlight w:val="none"/>
        </w:rPr>
      </w:r>
      <w:r>
        <w:rPr>
          <w:b w:val="0"/>
          <w:highlight w:val="none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</w:t>
      </w:r>
      <w:r>
        <w:rPr>
          <w:b w:val="0"/>
          <w:highlight w:val="none"/>
        </w:rPr>
        <w:t xml:space="preserve">2 к настоящим Техническим требованиям, и включается в состав договора с применением</w:t>
      </w:r>
      <w:r>
        <w:rPr>
          <w:b w:val="0"/>
          <w:highlight w:val="none"/>
        </w:rPr>
        <w:t xml:space="preserve"> понижающего коэффициента, указанного в заявке Участника, с которым принято решение заключить договор. </w:t>
      </w:r>
      <w:r>
        <w:rPr>
          <w:b w:val="0"/>
          <w:highlight w:val="none"/>
        </w:rPr>
        <w:t xml:space="preserve">Понижающий коэффициент начисляется в локальных сметах единым индексом в итогах </w:t>
      </w:r>
      <w:r>
        <w:rPr>
          <w:b w:val="0"/>
          <w:highlight w:val="none"/>
        </w:rPr>
        <w:t xml:space="preserve">п</w:t>
      </w:r>
      <w:r>
        <w:rPr>
          <w:b w:val="0"/>
          <w:highlight w:val="none"/>
        </w:rPr>
        <w:t xml:space="preserve">о</w:t>
      </w:r>
      <w:r>
        <w:rPr>
          <w:b w:val="0"/>
          <w:highlight w:val="none"/>
        </w:rPr>
        <w:t xml:space="preserve">с</w:t>
      </w:r>
      <w:r>
        <w:rPr>
          <w:b w:val="0"/>
          <w:highlight w:val="none"/>
        </w:rPr>
        <w:t xml:space="preserve">л</w:t>
      </w:r>
      <w:r>
        <w:rPr>
          <w:b w:val="0"/>
          <w:highlight w:val="none"/>
        </w:rPr>
        <w:t xml:space="preserve">е</w:t>
      </w:r>
      <w:r>
        <w:rPr>
          <w:b w:val="0"/>
          <w:highlight w:val="none"/>
        </w:rPr>
        <w:t xml:space="preserve"> </w:t>
      </w:r>
      <w:r>
        <w:rPr>
          <w:b w:val="0"/>
          <w:highlight w:val="none"/>
        </w:rPr>
        <w:t xml:space="preserve">н</w:t>
      </w:r>
      <w:r>
        <w:rPr>
          <w:b w:val="0"/>
          <w:highlight w:val="none"/>
        </w:rPr>
        <w:t xml:space="preserve">а</w:t>
      </w:r>
      <w:r>
        <w:rPr>
          <w:b w:val="0"/>
          <w:highlight w:val="none"/>
        </w:rPr>
        <w:t xml:space="preserve">ч</w:t>
      </w:r>
      <w:r>
        <w:rPr>
          <w:b w:val="0"/>
          <w:highlight w:val="none"/>
        </w:rPr>
        <w:t xml:space="preserve">и</w:t>
      </w:r>
      <w:r>
        <w:rPr>
          <w:b w:val="0"/>
          <w:highlight w:val="none"/>
        </w:rPr>
        <w:t xml:space="preserve">с</w:t>
      </w:r>
      <w:r>
        <w:rPr>
          <w:b w:val="0"/>
          <w:highlight w:val="none"/>
        </w:rPr>
        <w:t xml:space="preserve">л</w:t>
      </w:r>
      <w:r>
        <w:rPr>
          <w:b w:val="0"/>
          <w:highlight w:val="none"/>
        </w:rPr>
        <w:t xml:space="preserve">е</w:t>
      </w:r>
      <w:r>
        <w:rPr>
          <w:b w:val="0"/>
          <w:highlight w:val="none"/>
        </w:rPr>
        <w:t xml:space="preserve">н</w:t>
      </w:r>
      <w:r>
        <w:rPr>
          <w:b w:val="0"/>
          <w:highlight w:val="none"/>
        </w:rPr>
        <w:t xml:space="preserve">и</w:t>
      </w:r>
      <w:r>
        <w:rPr>
          <w:b w:val="0"/>
          <w:highlight w:val="none"/>
        </w:rPr>
        <w:t xml:space="preserve">я</w:t>
      </w:r>
      <w:r>
        <w:rPr>
          <w:b w:val="0"/>
          <w:highlight w:val="none"/>
        </w:rPr>
        <w:t xml:space="preserve"> </w:t>
      </w:r>
      <w:r>
        <w:rPr>
          <w:b w:val="0"/>
          <w:highlight w:val="none"/>
        </w:rPr>
        <w:t xml:space="preserve">л</w:t>
      </w:r>
      <w:r>
        <w:rPr>
          <w:b w:val="0"/>
          <w:highlight w:val="none"/>
        </w:rPr>
        <w:t xml:space="preserve">и</w:t>
      </w:r>
      <w:r>
        <w:rPr>
          <w:b w:val="0"/>
          <w:highlight w:val="none"/>
        </w:rPr>
        <w:t xml:space="preserve">м</w:t>
      </w:r>
      <w:r>
        <w:rPr>
          <w:b w:val="0"/>
          <w:highlight w:val="none"/>
        </w:rPr>
        <w:t xml:space="preserve">и</w:t>
      </w:r>
      <w:r>
        <w:rPr>
          <w:b w:val="0"/>
          <w:highlight w:val="none"/>
        </w:rPr>
        <w:t xml:space="preserve">т</w:t>
      </w:r>
      <w:r>
        <w:rPr>
          <w:b w:val="0"/>
          <w:highlight w:val="none"/>
        </w:rPr>
        <w:t xml:space="preserve">и</w:t>
      </w:r>
      <w:r>
        <w:rPr>
          <w:b w:val="0"/>
          <w:highlight w:val="none"/>
        </w:rPr>
        <w:t xml:space="preserve">р</w:t>
      </w:r>
      <w:r>
        <w:rPr>
          <w:b w:val="0"/>
          <w:highlight w:val="none"/>
        </w:rPr>
        <w:t xml:space="preserve">о</w:t>
      </w:r>
      <w:r>
        <w:rPr>
          <w:b w:val="0"/>
          <w:highlight w:val="none"/>
        </w:rPr>
        <w:t xml:space="preserve">в</w:t>
      </w:r>
      <w:r>
        <w:rPr>
          <w:b w:val="0"/>
          <w:highlight w:val="none"/>
        </w:rPr>
        <w:t xml:space="preserve">а</w:t>
      </w:r>
      <w:r>
        <w:rPr>
          <w:b w:val="0"/>
          <w:highlight w:val="none"/>
        </w:rPr>
        <w:t xml:space="preserve">н</w:t>
      </w:r>
      <w:r>
        <w:rPr>
          <w:b w:val="0"/>
          <w:highlight w:val="none"/>
        </w:rPr>
        <w:t xml:space="preserve">н</w:t>
      </w:r>
      <w:r>
        <w:rPr>
          <w:b w:val="0"/>
          <w:highlight w:val="none"/>
        </w:rPr>
        <w:t xml:space="preserve">ы</w:t>
      </w:r>
      <w:r>
        <w:rPr>
          <w:b w:val="0"/>
          <w:highlight w:val="none"/>
        </w:rPr>
        <w:t xml:space="preserve">х</w:t>
      </w:r>
      <w:r>
        <w:rPr>
          <w:b w:val="0"/>
          <w:highlight w:val="none"/>
        </w:rPr>
        <w:t xml:space="preserve"> </w:t>
      </w:r>
      <w:r>
        <w:rPr>
          <w:b w:val="0"/>
          <w:highlight w:val="none"/>
        </w:rPr>
        <w:t xml:space="preserve">з</w:t>
      </w:r>
      <w:r>
        <w:rPr>
          <w:b w:val="0"/>
          <w:highlight w:val="none"/>
        </w:rPr>
        <w:t xml:space="preserve">а</w:t>
      </w:r>
      <w:r>
        <w:rPr>
          <w:b w:val="0"/>
          <w:highlight w:val="none"/>
        </w:rPr>
        <w:t xml:space="preserve">т</w:t>
      </w:r>
      <w:r>
        <w:rPr>
          <w:b w:val="0"/>
          <w:highlight w:val="none"/>
        </w:rPr>
        <w:t xml:space="preserve">р</w:t>
      </w:r>
      <w:r>
        <w:rPr>
          <w:b w:val="0"/>
          <w:highlight w:val="none"/>
        </w:rPr>
        <w:t xml:space="preserve">а</w:t>
      </w:r>
      <w:r>
        <w:rPr>
          <w:b w:val="0"/>
          <w:highlight w:val="none"/>
        </w:rPr>
        <w:t xml:space="preserve">т</w:t>
      </w:r>
      <w:r>
        <w:rPr>
          <w:b w:val="0"/>
          <w:highlight w:val="none"/>
        </w:rPr>
        <w:t xml:space="preserve">.</w:t>
      </w:r>
      <w:r>
        <w:rPr>
          <w:b w:val="0"/>
          <w:highlight w:val="none"/>
        </w:rPr>
      </w:r>
      <w:r>
        <w:rPr>
          <w:b w:val="0"/>
          <w:highlight w:val="none"/>
        </w:rPr>
      </w:r>
    </w:p>
    <w:p>
      <w:pPr>
        <w:pStyle w:val="774"/>
        <w:ind w:left="0" w:firstLine="709"/>
        <w:spacing w:before="0" w:beforeAutospacing="0" w:after="0" w:afterAutospacing="0"/>
        <w:rPr>
          <w:b w:val="0"/>
          <w:highlight w:val="none"/>
        </w:rPr>
        <w:suppressLineNumbers w:val="0"/>
      </w:pPr>
      <w:r>
        <w:rPr>
          <w:highlight w:val="none"/>
        </w:rPr>
      </w:r>
      <w:r>
        <w:rPr>
          <w:b w:val="0"/>
          <w:highlight w:val="none"/>
        </w:rPr>
        <w:t xml:space="preserve">Внесение изменений в сметную документацию заказчика, кроме применения понижающего коэффициента в соответствии с п. 4.1.1, не допускается</w:t>
      </w:r>
      <w:r>
        <w:rPr>
          <w:b w:val="0"/>
          <w:highlight w:val="none"/>
        </w:rPr>
      </w:r>
      <w:r>
        <w:rPr>
          <w:b w:val="0"/>
          <w:highlight w:val="none"/>
        </w:rPr>
      </w:r>
    </w:p>
    <w:p>
      <w:pPr>
        <w:pStyle w:val="774"/>
        <w:ind w:left="0" w:firstLine="709"/>
        <w:spacing w:before="0" w:beforeAutospacing="0" w:after="0" w:afterAutospacing="0"/>
        <w:rPr>
          <w:b w:val="0"/>
          <w:highlight w:val="none"/>
        </w:rPr>
        <w:suppressLineNumbers w:val="0"/>
      </w:pPr>
      <w:r>
        <w:rPr>
          <w:highlight w:val="none"/>
        </w:rPr>
      </w:r>
      <w:r>
        <w:rPr>
          <w:b w:val="0"/>
          <w:highlight w:val="none"/>
        </w:rPr>
        <w:t xml:space="preserve">В сметной документации предусмотрен резерв средств на непредвиденные работы и затраты в размере 2,69</w:t>
      </w:r>
      <w:r>
        <w:rPr>
          <w:b w:val="0"/>
          <w:highlight w:val="none"/>
        </w:rPr>
        <w:t xml:space="preserve">%</w:t>
      </w:r>
      <w:r>
        <w:rPr>
          <w:b w:val="0"/>
          <w:highlight w:val="none"/>
          <w:lang w:val="ru-RU"/>
        </w:rPr>
        <w:t xml:space="preserve">.</w:t>
      </w:r>
      <w:r>
        <w:rPr>
          <w:b w:val="0"/>
          <w:highlight w:val="none"/>
        </w:rPr>
      </w:r>
      <w:r>
        <w:rPr>
          <w:b w:val="0"/>
          <w:highlight w:val="none"/>
        </w:rPr>
      </w:r>
    </w:p>
    <w:p>
      <w:pPr>
        <w:pStyle w:val="775"/>
        <w:ind w:left="0" w:firstLine="709"/>
        <w:spacing w:before="0" w:beforeAutospacing="0" w:after="0" w:afterAutospacing="0"/>
        <w:rPr>
          <w:b w:val="0"/>
        </w:rPr>
        <w:suppressLineNumbers w:val="0"/>
      </w:pPr>
      <w:r/>
      <w:bookmarkStart w:id="0" w:name="undefined"/>
      <w:r>
        <w:rPr>
          <w:b w:val="0"/>
        </w:rPr>
        <w:t xml:space="preserve"> </w:t>
      </w:r>
      <w:r>
        <w:rPr>
          <w:b w:val="0"/>
        </w:rPr>
        <w:t xml:space="preserve">Требования к составлению сметной документации (на этапе исполнения договора):</w:t>
      </w:r>
      <w:bookmarkEnd w:id="0"/>
      <w:r>
        <w:rPr>
          <w:b w:val="0"/>
        </w:rPr>
      </w:r>
      <w:r>
        <w:rPr>
          <w:b w:val="0"/>
        </w:rPr>
      </w:r>
    </w:p>
    <w:p>
      <w:pPr>
        <w:pStyle w:val="774"/>
        <w:ind w:left="0" w:firstLine="709"/>
        <w:spacing w:before="0" w:beforeAutospacing="0" w:after="0" w:afterAutospacing="0"/>
        <w:rPr>
          <w:b w:val="0"/>
        </w:rPr>
        <w:suppressLineNumbers w:val="0"/>
      </w:pPr>
      <w:r/>
      <w:bookmarkStart w:id="0" w:name="undefined"/>
      <w:r>
        <w:rPr>
          <w:b w:val="0"/>
        </w:rPr>
        <w:t xml:space="preserve"> </w:t>
      </w:r>
      <w:r>
        <w:rPr>
          <w:b w:val="0"/>
        </w:rPr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</w:t>
      </w:r>
      <w:r>
        <w:rPr>
          <w:b w:val="0"/>
        </w:rPr>
        <w:t xml:space="preserve">2 к настоящим Техническим требованиям, с применением понижающего коэффициента, определенного по результатам конкурентной процедуры. (п.4.1.1).</w:t>
      </w:r>
      <w:bookmarkEnd w:id="0"/>
      <w:r>
        <w:rPr>
          <w:b w:val="0"/>
        </w:rPr>
      </w:r>
      <w:r>
        <w:rPr>
          <w:b w:val="0"/>
        </w:rPr>
      </w:r>
    </w:p>
    <w:p>
      <w:pPr>
        <w:ind w:left="0" w:firstLine="709"/>
        <w:spacing w:before="0" w:beforeAutospacing="0" w:after="0" w:afterAutospacing="0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4"/>
        <w:ind w:left="0"/>
        <w:jc w:val="both"/>
        <w:spacing w:before="0" w:beforeAutospacing="0" w:after="0" w:afterAutospacing="0"/>
        <w:shd w:val="clear" w:color="auto" w:fill="ffff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4"/>
        <w:ind w:left="0"/>
        <w:jc w:val="both"/>
        <w:shd w:val="clear" w:color="auto" w:fill="ffffff"/>
        <w:tabs>
          <w:tab w:val="left" w:pos="709" w:leader="none"/>
        </w:tabs>
      </w:pPr>
      <w:r/>
      <w:r/>
    </w:p>
    <w:p>
      <w:pPr>
        <w:pStyle w:val="774"/>
        <w:numPr>
          <w:ilvl w:val="2"/>
          <w:numId w:val="30"/>
        </w:numPr>
        <w:ind w:left="0" w:firstLine="0"/>
      </w:pPr>
      <w:r>
        <w:br w:type="page" w:clear="all"/>
      </w:r>
      <w:r/>
    </w:p>
    <w:p>
      <w:pPr>
        <w:pStyle w:val="772"/>
        <w:ind w:left="0" w:firstLine="0"/>
        <w:jc w:val="both"/>
        <w:spacing w:before="0" w:beforeAutospacing="0" w:after="0" w:afterAutospacing="0"/>
        <w:rPr>
          <w:b/>
          <w:bCs/>
          <w:caps/>
          <w:sz w:val="24"/>
          <w:szCs w:val="24"/>
          <w:highlight w:val="white"/>
        </w:rPr>
        <w:suppressLineNumbers w:val="0"/>
      </w:pPr>
      <w:r>
        <w:rPr>
          <w:b/>
          <w:bCs/>
          <w:sz w:val="24"/>
          <w:szCs w:val="24"/>
        </w:rPr>
      </w:r>
      <w:bookmarkStart w:id="82" w:name="_Toc129956760"/>
      <w:r>
        <w:rPr>
          <w:b/>
          <w:bCs/>
          <w:sz w:val="24"/>
          <w:szCs w:val="24"/>
        </w:rPr>
      </w:r>
      <w:bookmarkStart w:id="83" w:name="_Toc142924524"/>
      <w:r>
        <w:rPr>
          <w:b/>
          <w:bCs/>
          <w:sz w:val="24"/>
          <w:szCs w:val="24"/>
          <w:highlight w:val="white"/>
        </w:rPr>
        <w:t xml:space="preserve">Приложения</w:t>
      </w:r>
      <w:bookmarkEnd w:id="66"/>
      <w:r>
        <w:rPr>
          <w:b/>
          <w:bCs/>
          <w:sz w:val="24"/>
          <w:szCs w:val="24"/>
        </w:rPr>
      </w:r>
      <w:bookmarkEnd w:id="67"/>
      <w:r>
        <w:rPr>
          <w:b/>
          <w:bCs/>
          <w:sz w:val="24"/>
          <w:szCs w:val="24"/>
        </w:rPr>
      </w:r>
      <w:bookmarkEnd w:id="82"/>
      <w:r>
        <w:rPr>
          <w:b/>
          <w:bCs/>
          <w:sz w:val="24"/>
          <w:szCs w:val="24"/>
        </w:rPr>
      </w:r>
      <w:bookmarkEnd w:id="83"/>
      <w:r>
        <w:rPr>
          <w:b/>
          <w:bCs/>
          <w:caps/>
          <w:sz w:val="24"/>
          <w:szCs w:val="24"/>
          <w:highlight w:val="white"/>
        </w:rPr>
      </w:r>
      <w:r>
        <w:rPr>
          <w:b/>
          <w:bCs/>
          <w:caps/>
          <w:sz w:val="24"/>
          <w:szCs w:val="24"/>
          <w:highlight w:val="white"/>
        </w:rPr>
      </w:r>
    </w:p>
    <w:p>
      <w:pPr>
        <w:keepLines/>
        <w:keepNext/>
        <w:spacing w:before="0" w:beforeAutospacing="0" w:after="0" w:afterAutospacing="0"/>
        <w:rPr>
          <w:rStyle w:val="1035"/>
          <w:b w:val="0"/>
          <w:bCs/>
          <w:iCs/>
          <w:sz w:val="24"/>
          <w:szCs w:val="24"/>
          <w:highlight w:val="white"/>
        </w:rPr>
      </w:pPr>
      <w:r>
        <w:rPr>
          <w:b w:val="0"/>
          <w:bCs/>
          <w:iCs/>
          <w:sz w:val="24"/>
          <w:szCs w:val="24"/>
          <w:highlight w:val="white"/>
        </w:rPr>
      </w:r>
      <w:r>
        <w:rPr>
          <w:rStyle w:val="1035"/>
          <w:b w:val="0"/>
          <w:bCs/>
          <w:iCs/>
          <w:sz w:val="24"/>
          <w:szCs w:val="24"/>
          <w:highlight w:val="white"/>
        </w:rPr>
      </w:r>
      <w:r>
        <w:rPr>
          <w:rStyle w:val="1035"/>
          <w:b w:val="0"/>
          <w:bCs/>
          <w:iCs/>
          <w:sz w:val="24"/>
          <w:szCs w:val="24"/>
          <w:highlight w:val="white"/>
        </w:rPr>
      </w:r>
    </w:p>
    <w:p>
      <w:pPr>
        <w:ind w:left="0"/>
        <w:jc w:val="left"/>
        <w:spacing w:before="0" w:beforeAutospacing="0" w:after="0" w:afterAutospacing="0" w:line="259" w:lineRule="auto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Приложение №1 – Ведомость объёмов работ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/>
        <w:jc w:val="left"/>
        <w:spacing w:before="0" w:beforeAutospacing="0" w:after="0" w:afterAutospacing="0" w:line="259" w:lineRule="auto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</w:rPr>
        <w:t xml:space="preserve">Приложение №2 – Требования к оформлению и составлению документации по ценообразованию;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/>
        <w:jc w:val="left"/>
        <w:spacing w:before="0" w:beforeAutospacing="0" w:after="0" w:afterAutospacing="0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</w:rPr>
        <w:t xml:space="preserve">Приложение №3 – Локальные нормативные акты Заказчик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/>
        <w:jc w:val="left"/>
        <w:spacing w:before="0" w:beforeAutospacing="0" w:after="0" w:afterAutospacing="0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  <w:t xml:space="preserve">Приложение №4 – Локальный сметный расчет;</w:t>
      </w: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ind w:left="0"/>
        <w:jc w:val="left"/>
        <w:spacing w:before="0" w:beforeAutospacing="0" w:after="0" w:afterAutospacing="0"/>
        <w:rPr>
          <w:sz w:val="24"/>
          <w:szCs w:val="24"/>
        </w:rPr>
        <w:suppressLineNumbers w:val="0"/>
      </w:pPr>
      <w:r>
        <w:rPr>
          <w:sz w:val="24"/>
          <w:szCs w:val="24"/>
          <w:highlight w:val="none"/>
        </w:rPr>
        <w:t xml:space="preserve">Приложение №5 – Ведомость материалов подрядчика.</w:t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 Light">
    <w:panose1 w:val="020F05020202040302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19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rPr>
        <w:rStyle w:val="971"/>
      </w:rPr>
      <w:framePr w:wrap="around" w:vAnchor="text" w:hAnchor="margin" w:xAlign="center" w:y="1"/>
    </w:pPr>
    <w:r>
      <w:rPr>
        <w:rStyle w:val="971"/>
      </w:rPr>
      <w:fldChar w:fldCharType="begin"/>
    </w:r>
    <w:r>
      <w:rPr>
        <w:rStyle w:val="971"/>
      </w:rPr>
      <w:instrText xml:space="preserve">PAGE  </w:instrText>
    </w:r>
    <w:r>
      <w:rPr>
        <w:rStyle w:val="971"/>
      </w:rPr>
      <w:fldChar w:fldCharType="end"/>
    </w:r>
    <w:r>
      <w:rPr>
        <w:rStyle w:val="971"/>
      </w:rPr>
    </w:r>
    <w:r>
      <w:rPr>
        <w:rStyle w:val="971"/>
      </w:rPr>
    </w:r>
  </w:p>
  <w:p>
    <w:pPr>
      <w:pStyle w:val="95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4"/>
      <w:numFmt w:val="bullet"/>
      <w:pStyle w:val="1019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20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18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upperRoman"/>
      <w:isLgl w:val="false"/>
      <w:suff w:val="tab"/>
      <w:lvlText w:val="Раздел %1."/>
      <w:lvlJc w:val="left"/>
      <w:pPr>
        <w:ind w:left="1701" w:hanging="1701"/>
      </w:pPr>
      <w:rPr>
        <w:rFonts w:hint="default" w:cs="Times New Roman"/>
      </w:rPr>
    </w:lvl>
    <w:lvl w:ilvl="1">
      <w:start w:val="1"/>
      <w:numFmt w:val="decimal"/>
      <w:lvlRestart w:val="0"/>
      <w:isLgl w:val="false"/>
      <w:suff w:val="tab"/>
      <w:lvlText w:val="Глава %2."/>
      <w:lvlJc w:val="left"/>
      <w:pPr>
        <w:ind w:left="2552" w:hanging="1701"/>
      </w:pPr>
      <w:rPr>
        <w:rFonts w:cs="Times New Roman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pStyle w:val="1062"/>
      <w:isLgl w:val="false"/>
      <w:suff w:val="tab"/>
      <w:lvlText w:val="%2.%3."/>
      <w:lvlJc w:val="left"/>
      <w:pPr>
        <w:ind w:left="907" w:hanging="907"/>
      </w:pPr>
      <w:rPr>
        <w:rFonts w:hint="default" w:cs="Times New Roman"/>
      </w:rPr>
    </w:lvl>
    <w:lvl w:ilvl="3">
      <w:start w:val="1"/>
      <w:numFmt w:val="decimal"/>
      <w:pStyle w:val="1063"/>
      <w:isLgl w:val="false"/>
      <w:suff w:val="tab"/>
      <w:lvlText w:val="%2.%3.%4."/>
      <w:lvlJc w:val="left"/>
      <w:pPr>
        <w:ind w:left="1191" w:hanging="907"/>
      </w:pPr>
      <w:rPr>
        <w:rFonts w:hint="default" w:cs="Times New Roman"/>
        <w:b w:val="0"/>
        <w:bCs w:val="0"/>
        <w:color w:val="auto"/>
        <w:sz w:val="26"/>
        <w:szCs w:val="26"/>
      </w:rPr>
    </w:lvl>
    <w:lvl w:ilvl="4">
      <w:start w:val="1"/>
      <w:numFmt w:val="russianLower"/>
      <w:pStyle w:val="1064"/>
      <w:isLgl w:val="false"/>
      <w:suff w:val="tab"/>
      <w:lvlText w:val="%5)"/>
      <w:lvlJc w:val="left"/>
      <w:pPr>
        <w:ind w:left="1474" w:hanging="567"/>
        <w:tabs>
          <w:tab w:val="num" w:pos="-31680" w:leader="none"/>
        </w:tabs>
      </w:pPr>
      <w:rPr>
        <w:rFonts w:hint="default" w:cs="Calibri Light" w:asciiTheme="majorHAnsi" w:hAnsiTheme="majorHAnsi"/>
        <w:b w:val="0"/>
        <w:bCs/>
      </w:rPr>
    </w:lvl>
    <w:lvl w:ilvl="5">
      <w:start w:val="1"/>
      <w:numFmt w:val="none"/>
      <w:isLgl w:val="false"/>
      <w:suff w:val="tab"/>
      <w:lvlText w:val="–"/>
      <w:lvlJc w:val="left"/>
      <w:pPr>
        <w:ind w:left="2041" w:hanging="567"/>
      </w:pPr>
      <w:rPr>
        <w:rFonts w:hint="default" w:cs="Times New Roman"/>
      </w:rPr>
    </w:lvl>
    <w:lvl w:ilvl="6">
      <w:start w:val="1"/>
      <w:numFmt w:val="none"/>
      <w:isLgl w:val="false"/>
      <w:suff w:val="tab"/>
      <w:lvlText w:val=""/>
      <w:lvlJc w:val="left"/>
      <w:pPr/>
      <w:rPr>
        <w:rFonts w:hint="default" w:cs="Times New Roman"/>
      </w:rPr>
    </w:lvl>
    <w:lvl w:ilvl="7">
      <w:start w:val="1"/>
      <w:numFmt w:val="none"/>
      <w:isLgl w:val="false"/>
      <w:suff w:val="tab"/>
      <w:lvlText w:val=""/>
      <w:lvlJc w:val="left"/>
      <w:pPr/>
      <w:rPr>
        <w:rFonts w:hint="default" w:cs="Times New Roman"/>
      </w:rPr>
    </w:lvl>
    <w:lvl w:ilvl="8">
      <w:start w:val="1"/>
      <w:numFmt w:val="none"/>
      <w:isLgl w:val="false"/>
      <w:suff w:val="tab"/>
      <w:lvlText w:val=""/>
      <w:lvlJc w:val="left"/>
      <w:pPr/>
      <w:rPr>
        <w:rFonts w:hint="default"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7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9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2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3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35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07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79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1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23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95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67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398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pStyle w:val="1050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4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6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8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0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2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4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6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86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pStyle w:val="95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5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styleLink w:val="1028"/>
    <w:lvl w:ilvl="0">
      <w:start w:val="3"/>
      <w:numFmt w:val="decimal"/>
      <w:pStyle w:val="102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pStyle w:val="772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75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74"/>
      <w:isLgl w:val="false"/>
      <w:suff w:val="tab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38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39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42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40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41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31">
    <w:multiLevelType w:val="hybridMultilevel"/>
    <w:styleLink w:val="1032"/>
    <w:lvl w:ilvl="0">
      <w:start w:val="1"/>
      <w:numFmt w:val="decimal"/>
      <w:pStyle w:val="1032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61" w:hanging="360"/>
      </w:pPr>
      <w:rPr>
        <w:rFonts w:ascii="Arial" w:hAnsi="Arial" w:eastAsia="Arial" w:cs="Arial"/>
        <w:b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81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201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921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1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61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81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1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521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  <w:b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1"/>
  </w:num>
  <w:num w:numId="3">
    <w:abstractNumId w:val="25"/>
  </w:num>
  <w:num w:numId="4">
    <w:abstractNumId w:val="26"/>
  </w:num>
  <w:num w:numId="5">
    <w:abstractNumId w:val="31"/>
  </w:num>
  <w:num w:numId="6">
    <w:abstractNumId w:val="28"/>
  </w:num>
  <w:num w:numId="7">
    <w:abstractNumId w:val="18"/>
  </w:num>
  <w:num w:numId="8">
    <w:abstractNumId w:val="4"/>
  </w:num>
  <w:num w:numId="9">
    <w:abstractNumId w:val="0"/>
  </w:num>
  <w:num w:numId="10">
    <w:abstractNumId w:val="22"/>
  </w:num>
  <w:num w:numId="11">
    <w:abstractNumId w:val="8"/>
  </w:num>
  <w:num w:numId="12">
    <w:abstractNumId w:val="23"/>
  </w:num>
  <w:num w:numId="13">
    <w:abstractNumId w:val="9"/>
  </w:num>
  <w:num w:numId="14">
    <w:abstractNumId w:val="6"/>
  </w:num>
  <w:num w:numId="15">
    <w:abstractNumId w:val="10"/>
  </w:num>
  <w:num w:numId="16">
    <w:abstractNumId w:val="30"/>
  </w:num>
  <w:num w:numId="17">
    <w:abstractNumId w:val="27"/>
  </w:num>
  <w:num w:numId="18">
    <w:abstractNumId w:val="20"/>
  </w:num>
  <w:num w:numId="19">
    <w:abstractNumId w:val="29"/>
  </w:num>
  <w:num w:numId="20">
    <w:abstractNumId w:val="26"/>
  </w:num>
  <w:num w:numId="21">
    <w:abstractNumId w:val="15"/>
  </w:num>
  <w:num w:numId="22">
    <w:abstractNumId w:val="24"/>
  </w:num>
  <w:num w:numId="23">
    <w:abstractNumId w:val="16"/>
  </w:num>
  <w:num w:numId="24">
    <w:abstractNumId w:val="17"/>
  </w:num>
  <w:num w:numId="25">
    <w:abstractNumId w:val="12"/>
  </w:num>
  <w:num w:numId="26">
    <w:abstractNumId w:val="7"/>
  </w:num>
  <w:num w:numId="27">
    <w:abstractNumId w:val="11"/>
  </w:num>
  <w:num w:numId="28">
    <w:abstractNumId w:val="13"/>
  </w:num>
  <w:num w:numId="29">
    <w:abstractNumId w:val="5"/>
  </w:num>
  <w:num w:numId="30">
    <w:abstractNumId w:val="19"/>
  </w:num>
  <w:num w:numId="31">
    <w:abstractNumId w:val="2"/>
  </w:num>
  <w:num w:numId="32">
    <w:abstractNumId w:val="3"/>
  </w:num>
  <w:num w:numId="33">
    <w:abstractNumId w:val="14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1" w:default="1">
    <w:name w:val="Normal"/>
    <w:qFormat/>
    <w:rPr>
      <w:sz w:val="28"/>
      <w:szCs w:val="28"/>
    </w:rPr>
  </w:style>
  <w:style w:type="paragraph" w:styleId="772">
    <w:name w:val="Heading 1"/>
    <w:basedOn w:val="774"/>
    <w:next w:val="771"/>
    <w:link w:val="991"/>
    <w:qFormat/>
    <w:pPr>
      <w:numPr>
        <w:ilvl w:val="0"/>
      </w:numPr>
      <w:outlineLvl w:val="0"/>
    </w:pPr>
    <w:rPr>
      <w:sz w:val="28"/>
      <w:szCs w:val="28"/>
    </w:rPr>
  </w:style>
  <w:style w:type="paragraph" w:styleId="773">
    <w:name w:val="Heading 2"/>
    <w:basedOn w:val="775"/>
    <w:next w:val="771"/>
    <w:link w:val="993"/>
    <w:qFormat/>
    <w:pPr>
      <w:outlineLvl w:val="1"/>
    </w:pPr>
  </w:style>
  <w:style w:type="paragraph" w:styleId="774">
    <w:name w:val="Heading 3"/>
    <w:basedOn w:val="771"/>
    <w:next w:val="771"/>
    <w:link w:val="994"/>
    <w:qFormat/>
    <w:pPr>
      <w:numPr>
        <w:ilvl w:val="2"/>
        <w:numId w:val="4"/>
      </w:numPr>
      <w:jc w:val="both"/>
      <w:keepNext/>
      <w:spacing w:before="120" w:after="60"/>
      <w:outlineLvl w:val="2"/>
    </w:pPr>
    <w:rPr>
      <w:rFonts w:eastAsia="Calibri"/>
      <w:sz w:val="24"/>
      <w:szCs w:val="24"/>
    </w:rPr>
  </w:style>
  <w:style w:type="paragraph" w:styleId="775">
    <w:name w:val="Heading 4"/>
    <w:basedOn w:val="774"/>
    <w:next w:val="771"/>
    <w:link w:val="995"/>
    <w:qFormat/>
    <w:pPr>
      <w:numPr>
        <w:ilvl w:val="1"/>
      </w:numPr>
      <w:outlineLvl w:val="3"/>
    </w:pPr>
    <w:rPr>
      <w:bCs/>
    </w:rPr>
  </w:style>
  <w:style w:type="paragraph" w:styleId="776">
    <w:name w:val="Heading 5"/>
    <w:basedOn w:val="771"/>
    <w:next w:val="771"/>
    <w:link w:val="99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77">
    <w:name w:val="Heading 6"/>
    <w:basedOn w:val="771"/>
    <w:next w:val="771"/>
    <w:link w:val="988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78">
    <w:name w:val="Heading 7"/>
    <w:basedOn w:val="771"/>
    <w:next w:val="771"/>
    <w:link w:val="989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79">
    <w:name w:val="Heading 8"/>
    <w:basedOn w:val="771"/>
    <w:next w:val="771"/>
    <w:link w:val="990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80">
    <w:name w:val="Heading 9"/>
    <w:basedOn w:val="771"/>
    <w:next w:val="771"/>
    <w:link w:val="99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81" w:default="1">
    <w:name w:val="Default Paragraph Font"/>
    <w:uiPriority w:val="1"/>
    <w:semiHidden/>
    <w:unhideWhenUsed/>
  </w:style>
  <w:style w:type="table" w:styleId="7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3" w:default="1">
    <w:name w:val="No List"/>
    <w:uiPriority w:val="99"/>
    <w:semiHidden/>
    <w:unhideWhenUsed/>
  </w:style>
  <w:style w:type="character" w:styleId="784" w:customStyle="1">
    <w:name w:val="Title Char"/>
    <w:basedOn w:val="781"/>
    <w:uiPriority w:val="10"/>
    <w:rPr>
      <w:sz w:val="48"/>
      <w:szCs w:val="48"/>
    </w:rPr>
  </w:style>
  <w:style w:type="character" w:styleId="785" w:customStyle="1">
    <w:name w:val="Caption Char"/>
    <w:uiPriority w:val="99"/>
  </w:style>
  <w:style w:type="table" w:styleId="786" w:customStyle="1">
    <w:name w:val="Plain Table 1"/>
    <w:basedOn w:val="782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 w:customStyle="1">
    <w:name w:val="Plain Table 2"/>
    <w:basedOn w:val="78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8" w:customStyle="1">
    <w:name w:val="Plain Table 3"/>
    <w:basedOn w:val="7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9" w:customStyle="1">
    <w:name w:val="Plain Table 4"/>
    <w:basedOn w:val="7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Plain Table 5"/>
    <w:basedOn w:val="7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1 Light"/>
    <w:basedOn w:val="782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2"/>
    <w:basedOn w:val="78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"/>
    <w:basedOn w:val="78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4"/>
    <w:basedOn w:val="782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5" w:customStyle="1">
    <w:name w:val="Grid Table 5 Dark"/>
    <w:basedOn w:val="78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6 Colorful"/>
    <w:basedOn w:val="78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7" w:customStyle="1">
    <w:name w:val="Grid Table 7 Colorful"/>
    <w:basedOn w:val="782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"/>
    <w:basedOn w:val="7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2"/>
    <w:basedOn w:val="78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0" w:customStyle="1">
    <w:name w:val="List Table 3"/>
    <w:basedOn w:val="782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"/>
    <w:basedOn w:val="782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5 Dark"/>
    <w:basedOn w:val="78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6 Colorful"/>
    <w:basedOn w:val="78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4" w:customStyle="1">
    <w:name w:val="List Table 7 Colorful"/>
    <w:basedOn w:val="782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character" w:styleId="805" w:customStyle="1">
    <w:name w:val="Heading 1 Char"/>
    <w:basedOn w:val="781"/>
    <w:uiPriority w:val="9"/>
    <w:rPr>
      <w:rFonts w:ascii="Arial" w:hAnsi="Arial" w:eastAsia="Arial" w:cs="Arial"/>
      <w:sz w:val="40"/>
      <w:szCs w:val="40"/>
    </w:rPr>
  </w:style>
  <w:style w:type="character" w:styleId="806" w:customStyle="1">
    <w:name w:val="Heading 2 Char"/>
    <w:basedOn w:val="781"/>
    <w:uiPriority w:val="9"/>
    <w:rPr>
      <w:rFonts w:ascii="Arial" w:hAnsi="Arial" w:eastAsia="Arial" w:cs="Arial"/>
      <w:sz w:val="34"/>
    </w:rPr>
  </w:style>
  <w:style w:type="character" w:styleId="807" w:customStyle="1">
    <w:name w:val="Heading 3 Char"/>
    <w:basedOn w:val="781"/>
    <w:uiPriority w:val="9"/>
    <w:rPr>
      <w:rFonts w:ascii="Arial" w:hAnsi="Arial" w:eastAsia="Arial" w:cs="Arial"/>
      <w:sz w:val="30"/>
      <w:szCs w:val="30"/>
    </w:rPr>
  </w:style>
  <w:style w:type="character" w:styleId="808" w:customStyle="1">
    <w:name w:val="Heading 4 Char"/>
    <w:basedOn w:val="781"/>
    <w:uiPriority w:val="9"/>
    <w:rPr>
      <w:rFonts w:ascii="Arial" w:hAnsi="Arial" w:eastAsia="Arial" w:cs="Arial"/>
      <w:b/>
      <w:bCs/>
      <w:sz w:val="26"/>
      <w:szCs w:val="26"/>
    </w:rPr>
  </w:style>
  <w:style w:type="character" w:styleId="809" w:customStyle="1">
    <w:name w:val="Heading 5 Char"/>
    <w:basedOn w:val="781"/>
    <w:uiPriority w:val="9"/>
    <w:rPr>
      <w:rFonts w:ascii="Arial" w:hAnsi="Arial" w:eastAsia="Arial" w:cs="Arial"/>
      <w:b/>
      <w:bCs/>
      <w:sz w:val="24"/>
      <w:szCs w:val="24"/>
    </w:rPr>
  </w:style>
  <w:style w:type="character" w:styleId="810" w:customStyle="1">
    <w:name w:val="Heading 6 Char"/>
    <w:basedOn w:val="781"/>
    <w:uiPriority w:val="9"/>
    <w:rPr>
      <w:rFonts w:ascii="Arial" w:hAnsi="Arial" w:eastAsia="Arial" w:cs="Arial"/>
      <w:b/>
      <w:bCs/>
      <w:sz w:val="22"/>
      <w:szCs w:val="22"/>
    </w:rPr>
  </w:style>
  <w:style w:type="character" w:styleId="811" w:customStyle="1">
    <w:name w:val="Heading 7 Char"/>
    <w:basedOn w:val="7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2" w:customStyle="1">
    <w:name w:val="Heading 8 Char"/>
    <w:basedOn w:val="781"/>
    <w:uiPriority w:val="9"/>
    <w:rPr>
      <w:rFonts w:ascii="Arial" w:hAnsi="Arial" w:eastAsia="Arial" w:cs="Arial"/>
      <w:i/>
      <w:iCs/>
      <w:sz w:val="22"/>
      <w:szCs w:val="22"/>
    </w:rPr>
  </w:style>
  <w:style w:type="character" w:styleId="813" w:customStyle="1">
    <w:name w:val="Heading 9 Char"/>
    <w:basedOn w:val="781"/>
    <w:uiPriority w:val="9"/>
    <w:rPr>
      <w:rFonts w:ascii="Arial" w:hAnsi="Arial" w:eastAsia="Arial" w:cs="Arial"/>
      <w:i/>
      <w:iCs/>
      <w:sz w:val="21"/>
      <w:szCs w:val="21"/>
    </w:rPr>
  </w:style>
  <w:style w:type="paragraph" w:styleId="814">
    <w:name w:val="Title"/>
    <w:basedOn w:val="771"/>
    <w:next w:val="771"/>
    <w:link w:val="8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15" w:customStyle="1">
    <w:name w:val="Название Знак1"/>
    <w:basedOn w:val="781"/>
    <w:link w:val="814"/>
    <w:uiPriority w:val="10"/>
    <w:rPr>
      <w:sz w:val="48"/>
      <w:szCs w:val="48"/>
    </w:rPr>
  </w:style>
  <w:style w:type="character" w:styleId="816" w:customStyle="1">
    <w:name w:val="Subtitle Char"/>
    <w:basedOn w:val="781"/>
    <w:uiPriority w:val="11"/>
    <w:rPr>
      <w:sz w:val="24"/>
      <w:szCs w:val="24"/>
    </w:rPr>
  </w:style>
  <w:style w:type="character" w:styleId="817" w:customStyle="1">
    <w:name w:val="Quote Char"/>
    <w:uiPriority w:val="29"/>
    <w:rPr>
      <w:i/>
    </w:rPr>
  </w:style>
  <w:style w:type="character" w:styleId="818" w:customStyle="1">
    <w:name w:val="Intense Quote Char"/>
    <w:uiPriority w:val="30"/>
    <w:rPr>
      <w:i/>
    </w:rPr>
  </w:style>
  <w:style w:type="character" w:styleId="819" w:customStyle="1">
    <w:name w:val="Header Char"/>
    <w:basedOn w:val="781"/>
    <w:uiPriority w:val="99"/>
  </w:style>
  <w:style w:type="character" w:styleId="820" w:customStyle="1">
    <w:name w:val="Footer Char"/>
    <w:basedOn w:val="781"/>
    <w:uiPriority w:val="99"/>
  </w:style>
  <w:style w:type="character" w:styleId="821" w:customStyle="1">
    <w:name w:val="Нижний колонтитул Знак"/>
    <w:link w:val="962"/>
    <w:uiPriority w:val="99"/>
  </w:style>
  <w:style w:type="table" w:styleId="822" w:customStyle="1">
    <w:name w:val="Table Grid Light"/>
    <w:basedOn w:val="782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3" w:customStyle="1">
    <w:name w:val="Таблица простая 11"/>
    <w:basedOn w:val="782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4" w:customStyle="1">
    <w:name w:val="Таблица простая 21"/>
    <w:basedOn w:val="78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5" w:customStyle="1">
    <w:name w:val="Таблица простая 31"/>
    <w:basedOn w:val="7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6" w:customStyle="1">
    <w:name w:val="Таблица простая 41"/>
    <w:basedOn w:val="7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Таблица простая 51"/>
    <w:basedOn w:val="7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8" w:customStyle="1">
    <w:name w:val="Таблица-сетка 1 светлая1"/>
    <w:basedOn w:val="782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1"/>
    <w:basedOn w:val="782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2"/>
    <w:basedOn w:val="782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3"/>
    <w:basedOn w:val="782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4"/>
    <w:basedOn w:val="782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5"/>
    <w:basedOn w:val="782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6"/>
    <w:basedOn w:val="782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Таблица-сетка 21"/>
    <w:basedOn w:val="78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1"/>
    <w:basedOn w:val="782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2"/>
    <w:basedOn w:val="782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3"/>
    <w:basedOn w:val="782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4"/>
    <w:basedOn w:val="782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5"/>
    <w:basedOn w:val="782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2 - Accent 6"/>
    <w:basedOn w:val="782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Таблица-сетка 31"/>
    <w:basedOn w:val="78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1"/>
    <w:basedOn w:val="782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2"/>
    <w:basedOn w:val="782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3"/>
    <w:basedOn w:val="782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4"/>
    <w:basedOn w:val="782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5"/>
    <w:basedOn w:val="782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3 - Accent 6"/>
    <w:basedOn w:val="782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Таблица-сетка 41"/>
    <w:basedOn w:val="782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0" w:customStyle="1">
    <w:name w:val="Grid Table 4 - Accent 1"/>
    <w:basedOn w:val="782"/>
    <w:uiPriority w:val="5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51" w:customStyle="1">
    <w:name w:val="Grid Table 4 - Accent 2"/>
    <w:basedOn w:val="782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52" w:customStyle="1">
    <w:name w:val="Grid Table 4 - Accent 3"/>
    <w:basedOn w:val="782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53" w:customStyle="1">
    <w:name w:val="Grid Table 4 - Accent 4"/>
    <w:basedOn w:val="782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54" w:customStyle="1">
    <w:name w:val="Grid Table 4 - Accent 5"/>
    <w:basedOn w:val="782"/>
    <w:uiPriority w:val="5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55" w:customStyle="1">
    <w:name w:val="Grid Table 4 - Accent 6"/>
    <w:basedOn w:val="782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56" w:customStyle="1">
    <w:name w:val="Таблица-сетка 5 темная1"/>
    <w:basedOn w:val="78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- Accent 1"/>
    <w:basedOn w:val="78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 - Accent 2"/>
    <w:basedOn w:val="78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 - Accent 3"/>
    <w:basedOn w:val="78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- Accent 4"/>
    <w:basedOn w:val="78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 - Accent 5"/>
    <w:basedOn w:val="78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62" w:customStyle="1">
    <w:name w:val="Grid Table 5 Dark - Accent 6"/>
    <w:basedOn w:val="78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63" w:customStyle="1">
    <w:name w:val="Таблица-сетка 6 цветная1"/>
    <w:basedOn w:val="78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4" w:customStyle="1">
    <w:name w:val="Grid Table 6 Colorful - Accent 1"/>
    <w:basedOn w:val="782"/>
    <w:uiPriority w:val="99"/>
    <w:tblPr>
      <w:tblStyleRowBandSize w:val="1"/>
      <w:tblStyleColBandSize w:val="1"/>
      <w:tblInd w:w="0" w:type="dxa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65" w:customStyle="1">
    <w:name w:val="Grid Table 6 Colorful - Accent 2"/>
    <w:basedOn w:val="78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66" w:customStyle="1">
    <w:name w:val="Grid Table 6 Colorful - Accent 3"/>
    <w:basedOn w:val="782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67" w:customStyle="1">
    <w:name w:val="Grid Table 6 Colorful - Accent 4"/>
    <w:basedOn w:val="782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68" w:customStyle="1">
    <w:name w:val="Grid Table 6 Colorful - Accent 5"/>
    <w:basedOn w:val="782"/>
    <w:uiPriority w:val="99"/>
    <w:tblPr>
      <w:tblStyleRowBandSize w:val="1"/>
      <w:tblStyleColBandSize w:val="1"/>
      <w:tblInd w:w="0" w:type="dxa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69" w:customStyle="1">
    <w:name w:val="Grid Table 6 Colorful - Accent 6"/>
    <w:basedOn w:val="782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70" w:customStyle="1">
    <w:name w:val="Таблица-сетка 7 цветная1"/>
    <w:basedOn w:val="782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7 Colorful - Accent 1"/>
    <w:basedOn w:val="782"/>
    <w:uiPriority w:val="99"/>
    <w:tblPr>
      <w:tblStyleRowBandSize w:val="1"/>
      <w:tblStyleColBandSize w:val="1"/>
      <w:tblInd w:w="0" w:type="dxa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7 Colorful - Accent 2"/>
    <w:basedOn w:val="782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7 Colorful - Accent 3"/>
    <w:basedOn w:val="782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7 Colorful - Accent 4"/>
    <w:basedOn w:val="782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7 Colorful - Accent 5"/>
    <w:basedOn w:val="782"/>
    <w:uiPriority w:val="99"/>
    <w:tblPr>
      <w:tblStyleRowBandSize w:val="1"/>
      <w:tblStyleColBandSize w:val="1"/>
      <w:tblInd w:w="0" w:type="dxa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7 Colorful - Accent 6"/>
    <w:basedOn w:val="782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Список-таблица 1 светлая1"/>
    <w:basedOn w:val="7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1"/>
    <w:basedOn w:val="7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2"/>
    <w:basedOn w:val="7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3"/>
    <w:basedOn w:val="7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4"/>
    <w:basedOn w:val="7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5"/>
    <w:basedOn w:val="7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1 Light - Accent 6"/>
    <w:basedOn w:val="78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Список-таблица 21"/>
    <w:basedOn w:val="78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1"/>
    <w:basedOn w:val="782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2"/>
    <w:basedOn w:val="782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3"/>
    <w:basedOn w:val="782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4"/>
    <w:basedOn w:val="782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89" w:customStyle="1">
    <w:name w:val="List Table 2 - Accent 5"/>
    <w:basedOn w:val="782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90" w:customStyle="1">
    <w:name w:val="List Table 2 - Accent 6"/>
    <w:basedOn w:val="782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91" w:customStyle="1">
    <w:name w:val="Список-таблица 31"/>
    <w:basedOn w:val="782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1"/>
    <w:basedOn w:val="782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2"/>
    <w:basedOn w:val="78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3"/>
    <w:basedOn w:val="782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4"/>
    <w:basedOn w:val="782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5"/>
    <w:basedOn w:val="782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6"/>
    <w:basedOn w:val="782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Список-таблица 41"/>
    <w:basedOn w:val="782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1"/>
    <w:basedOn w:val="782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2"/>
    <w:basedOn w:val="782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3"/>
    <w:basedOn w:val="782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4"/>
    <w:basedOn w:val="782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5"/>
    <w:basedOn w:val="782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6"/>
    <w:basedOn w:val="782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Список-таблица 5 темная1"/>
    <w:basedOn w:val="78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1"/>
    <w:basedOn w:val="782"/>
    <w:uiPriority w:val="99"/>
    <w:tblPr>
      <w:tblStyleRowBandSize w:val="1"/>
      <w:tblStyleColBandSize w:val="1"/>
      <w:tblInd w:w="0" w:type="dxa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2"/>
    <w:basedOn w:val="78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3"/>
    <w:basedOn w:val="782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4"/>
    <w:basedOn w:val="782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5"/>
    <w:basedOn w:val="782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 w:customStyle="1">
    <w:name w:val="List Table 5 Dark - Accent 6"/>
    <w:basedOn w:val="782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Список-таблица 6 цветная1"/>
    <w:basedOn w:val="78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3" w:customStyle="1">
    <w:name w:val="List Table 6 Colorful - Accent 1"/>
    <w:basedOn w:val="782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bottom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14" w:customStyle="1">
    <w:name w:val="List Table 6 Colorful - Accent 2"/>
    <w:basedOn w:val="78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15" w:customStyle="1">
    <w:name w:val="List Table 6 Colorful - Accent 3"/>
    <w:basedOn w:val="782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16" w:customStyle="1">
    <w:name w:val="List Table 6 Colorful - Accent 4"/>
    <w:basedOn w:val="782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17" w:customStyle="1">
    <w:name w:val="List Table 6 Colorful - Accent 5"/>
    <w:basedOn w:val="782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18" w:customStyle="1">
    <w:name w:val="List Table 6 Colorful - Accent 6"/>
    <w:basedOn w:val="782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19" w:customStyle="1">
    <w:name w:val="Список-таблица 7 цветная1"/>
    <w:basedOn w:val="782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7 Colorful - Accent 1"/>
    <w:basedOn w:val="782"/>
    <w:uiPriority w:val="99"/>
    <w:tblPr>
      <w:tblStyleRowBandSize w:val="1"/>
      <w:tblStyleColBandSize w:val="1"/>
      <w:tblInd w:w="0" w:type="dxa"/>
      <w:tblBorders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7 Colorful - Accent 2"/>
    <w:basedOn w:val="782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7 Colorful - Accent 3"/>
    <w:basedOn w:val="782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7 Colorful - Accent 4"/>
    <w:basedOn w:val="782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7 Colorful - Accent 5"/>
    <w:basedOn w:val="782"/>
    <w:uiPriority w:val="99"/>
    <w:tblPr>
      <w:tblStyleRowBandSize w:val="1"/>
      <w:tblStyleColBandSize w:val="1"/>
      <w:tblInd w:w="0" w:type="dxa"/>
      <w:tblBorders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7 Colorful - Accent 6"/>
    <w:basedOn w:val="782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ned - Accent"/>
    <w:basedOn w:val="78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7" w:customStyle="1">
    <w:name w:val="Lined - Accent 1"/>
    <w:basedOn w:val="78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28" w:customStyle="1">
    <w:name w:val="Lined - Accent 2"/>
    <w:basedOn w:val="78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9" w:customStyle="1">
    <w:name w:val="Lined - Accent 3"/>
    <w:basedOn w:val="78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30" w:customStyle="1">
    <w:name w:val="Lined - Accent 4"/>
    <w:basedOn w:val="78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31" w:customStyle="1">
    <w:name w:val="Lined - Accent 5"/>
    <w:basedOn w:val="78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32" w:customStyle="1">
    <w:name w:val="Lined - Accent 6"/>
    <w:basedOn w:val="78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33" w:customStyle="1">
    <w:name w:val="Bordered &amp; Lined - Accent"/>
    <w:basedOn w:val="78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4" w:customStyle="1">
    <w:name w:val="Bordered &amp; Lined - Accent 1"/>
    <w:basedOn w:val="78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35" w:customStyle="1">
    <w:name w:val="Bordered &amp; Lined - Accent 2"/>
    <w:basedOn w:val="78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36" w:customStyle="1">
    <w:name w:val="Bordered &amp; Lined - Accent 3"/>
    <w:basedOn w:val="78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37" w:customStyle="1">
    <w:name w:val="Bordered &amp; Lined - Accent 4"/>
    <w:basedOn w:val="78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38" w:customStyle="1">
    <w:name w:val="Bordered &amp; Lined - Accent 5"/>
    <w:basedOn w:val="78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39" w:customStyle="1">
    <w:name w:val="Bordered &amp; Lined - Accent 6"/>
    <w:basedOn w:val="78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40" w:customStyle="1">
    <w:name w:val="Bordered"/>
    <w:basedOn w:val="782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1" w:customStyle="1">
    <w:name w:val="Bordered - Accent 1"/>
    <w:basedOn w:val="782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42" w:customStyle="1">
    <w:name w:val="Bordered - Accent 2"/>
    <w:basedOn w:val="782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43" w:customStyle="1">
    <w:name w:val="Bordered - Accent 3"/>
    <w:basedOn w:val="782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44" w:customStyle="1">
    <w:name w:val="Bordered - Accent 4"/>
    <w:basedOn w:val="782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45" w:customStyle="1">
    <w:name w:val="Bordered - Accent 5"/>
    <w:basedOn w:val="782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46" w:customStyle="1">
    <w:name w:val="Bordered - Accent 6"/>
    <w:basedOn w:val="782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47" w:customStyle="1">
    <w:name w:val="Footnote Text Char"/>
    <w:uiPriority w:val="99"/>
    <w:rPr>
      <w:sz w:val="18"/>
    </w:rPr>
  </w:style>
  <w:style w:type="character" w:styleId="948" w:customStyle="1">
    <w:name w:val="Endnote Text Char"/>
    <w:uiPriority w:val="99"/>
    <w:rPr>
      <w:sz w:val="20"/>
    </w:rPr>
  </w:style>
  <w:style w:type="paragraph" w:styleId="949">
    <w:name w:val="table of figures"/>
    <w:basedOn w:val="771"/>
    <w:next w:val="771"/>
    <w:uiPriority w:val="99"/>
    <w:unhideWhenUsed/>
  </w:style>
  <w:style w:type="paragraph" w:styleId="950" w:customStyle="1">
    <w:name w:val="Название раздела инструкции"/>
    <w:basedOn w:val="771"/>
    <w:pPr>
      <w:jc w:val="center"/>
    </w:pPr>
    <w:rPr>
      <w:b/>
    </w:rPr>
  </w:style>
  <w:style w:type="paragraph" w:styleId="951" w:customStyle="1">
    <w:name w:val="Раздел положения"/>
    <w:basedOn w:val="771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52" w:customStyle="1">
    <w:name w:val="Подраздел раздела положения"/>
    <w:basedOn w:val="771"/>
    <w:pPr>
      <w:numPr>
        <w:ilvl w:val="1"/>
        <w:numId w:val="1"/>
      </w:numPr>
      <w:jc w:val="both"/>
      <w:spacing w:before="80" w:after="80"/>
    </w:pPr>
  </w:style>
  <w:style w:type="paragraph" w:styleId="953">
    <w:name w:val="footnote text"/>
    <w:basedOn w:val="771"/>
    <w:link w:val="1027"/>
    <w:rPr>
      <w:sz w:val="20"/>
      <w:szCs w:val="20"/>
    </w:rPr>
  </w:style>
  <w:style w:type="character" w:styleId="954">
    <w:name w:val="footnote reference"/>
    <w:rPr>
      <w:vertAlign w:val="superscript"/>
    </w:rPr>
  </w:style>
  <w:style w:type="paragraph" w:styleId="955" w:customStyle="1">
    <w:name w:val="Шапка 1"/>
    <w:basedOn w:val="771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56" w:customStyle="1">
    <w:name w:val="Шапка 2"/>
    <w:basedOn w:val="771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57" w:customStyle="1">
    <w:name w:val="Шапка 3"/>
    <w:basedOn w:val="771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58" w:customStyle="1">
    <w:name w:val="Название1"/>
    <w:basedOn w:val="771"/>
    <w:link w:val="1000"/>
    <w:uiPriority w:val="10"/>
    <w:qFormat/>
    <w:pPr>
      <w:jc w:val="center"/>
    </w:pPr>
    <w:rPr>
      <w:szCs w:val="20"/>
    </w:rPr>
  </w:style>
  <w:style w:type="paragraph" w:styleId="959">
    <w:name w:val="Header"/>
    <w:basedOn w:val="771"/>
    <w:link w:val="1044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60">
    <w:name w:val="Body Text Indent"/>
    <w:basedOn w:val="771"/>
    <w:pPr>
      <w:ind w:left="360"/>
    </w:pPr>
    <w:rPr>
      <w:sz w:val="24"/>
      <w:szCs w:val="24"/>
    </w:rPr>
  </w:style>
  <w:style w:type="table" w:styleId="961">
    <w:name w:val="Table Grid"/>
    <w:basedOn w:val="782"/>
    <w:uiPriority w:val="3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62">
    <w:name w:val="Footer"/>
    <w:basedOn w:val="771"/>
    <w:link w:val="821"/>
    <w:pPr>
      <w:tabs>
        <w:tab w:val="center" w:pos="4677" w:leader="none"/>
        <w:tab w:val="right" w:pos="9355" w:leader="none"/>
      </w:tabs>
    </w:pPr>
  </w:style>
  <w:style w:type="paragraph" w:styleId="963">
    <w:name w:val="Body Text"/>
    <w:basedOn w:val="771"/>
    <w:link w:val="1030"/>
    <w:pPr>
      <w:spacing w:after="120"/>
    </w:pPr>
  </w:style>
  <w:style w:type="paragraph" w:styleId="964">
    <w:name w:val="Body Text Indent 2"/>
    <w:basedOn w:val="771"/>
    <w:pPr>
      <w:ind w:left="283"/>
      <w:spacing w:after="120" w:line="480" w:lineRule="auto"/>
    </w:pPr>
  </w:style>
  <w:style w:type="paragraph" w:styleId="965">
    <w:name w:val="Body Text 3"/>
    <w:basedOn w:val="771"/>
    <w:pPr>
      <w:spacing w:after="120"/>
    </w:pPr>
    <w:rPr>
      <w:sz w:val="16"/>
      <w:szCs w:val="16"/>
    </w:rPr>
  </w:style>
  <w:style w:type="paragraph" w:styleId="966">
    <w:name w:val="Body Text Indent 3"/>
    <w:basedOn w:val="771"/>
    <w:pPr>
      <w:ind w:left="283"/>
      <w:spacing w:after="120"/>
    </w:pPr>
    <w:rPr>
      <w:sz w:val="16"/>
      <w:szCs w:val="16"/>
    </w:rPr>
  </w:style>
  <w:style w:type="paragraph" w:styleId="967">
    <w:name w:val="Body Text 2"/>
    <w:basedOn w:val="771"/>
    <w:pPr>
      <w:spacing w:after="120" w:line="480" w:lineRule="auto"/>
    </w:pPr>
  </w:style>
  <w:style w:type="paragraph" w:styleId="968">
    <w:name w:val="Block Text"/>
    <w:basedOn w:val="771"/>
    <w:pPr>
      <w:ind w:left="-567" w:right="-766"/>
      <w:jc w:val="center"/>
    </w:pPr>
    <w:rPr>
      <w:b/>
      <w:bCs/>
      <w:sz w:val="24"/>
      <w:szCs w:val="20"/>
    </w:rPr>
  </w:style>
  <w:style w:type="paragraph" w:styleId="969" w:customStyle="1">
    <w:name w:val="Подпункт"/>
    <w:basedOn w:val="771"/>
    <w:link w:val="1025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70" w:customStyle="1">
    <w:name w:val="Пункт2"/>
    <w:basedOn w:val="771"/>
    <w:link w:val="1051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71">
    <w:name w:val="page number"/>
    <w:basedOn w:val="781"/>
  </w:style>
  <w:style w:type="paragraph" w:styleId="972">
    <w:name w:val="toc 1"/>
    <w:basedOn w:val="771"/>
    <w:next w:val="771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73">
    <w:name w:val="toc 3"/>
    <w:basedOn w:val="771"/>
    <w:next w:val="771"/>
    <w:uiPriority w:val="39"/>
    <w:pPr>
      <w:ind w:left="567"/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974">
    <w:name w:val="Hyperlink"/>
    <w:uiPriority w:val="99"/>
    <w:rPr>
      <w:color w:val="0000ff"/>
      <w:u w:val="single"/>
    </w:rPr>
  </w:style>
  <w:style w:type="paragraph" w:styleId="975" w:customStyle="1">
    <w:name w:val="Раздел регламента"/>
    <w:basedOn w:val="771"/>
  </w:style>
  <w:style w:type="paragraph" w:styleId="976" w:customStyle="1">
    <w:name w:val="Приложение к регламенту"/>
    <w:basedOn w:val="771"/>
    <w:pPr>
      <w:jc w:val="right"/>
    </w:pPr>
  </w:style>
  <w:style w:type="paragraph" w:styleId="977">
    <w:name w:val="toc 2"/>
    <w:basedOn w:val="771"/>
    <w:next w:val="771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78">
    <w:name w:val="Balloon Text"/>
    <w:basedOn w:val="771"/>
    <w:semiHidden/>
    <w:rPr>
      <w:rFonts w:ascii="Tahoma" w:hAnsi="Tahoma" w:cs="Tahoma"/>
      <w:sz w:val="16"/>
      <w:szCs w:val="16"/>
    </w:rPr>
  </w:style>
  <w:style w:type="character" w:styleId="979">
    <w:name w:val="annotation reference"/>
    <w:uiPriority w:val="99"/>
    <w:semiHidden/>
    <w:rPr>
      <w:sz w:val="16"/>
      <w:szCs w:val="16"/>
    </w:rPr>
  </w:style>
  <w:style w:type="paragraph" w:styleId="980">
    <w:name w:val="annotation text"/>
    <w:basedOn w:val="771"/>
    <w:link w:val="1045"/>
    <w:semiHidden/>
    <w:rPr>
      <w:sz w:val="20"/>
      <w:szCs w:val="20"/>
    </w:rPr>
  </w:style>
  <w:style w:type="paragraph" w:styleId="981">
    <w:name w:val="annotation subject"/>
    <w:basedOn w:val="980"/>
    <w:next w:val="980"/>
    <w:semiHidden/>
    <w:rPr>
      <w:b/>
      <w:bCs/>
    </w:rPr>
  </w:style>
  <w:style w:type="paragraph" w:styleId="982" w:customStyle="1">
    <w:name w:val="Обычный (веб)1"/>
    <w:basedOn w:val="771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83">
    <w:name w:val="toc 9"/>
    <w:basedOn w:val="771"/>
    <w:next w:val="771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84">
    <w:name w:val="toc 5"/>
    <w:basedOn w:val="771"/>
    <w:next w:val="771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85">
    <w:name w:val="toc 4"/>
    <w:basedOn w:val="771"/>
    <w:next w:val="771"/>
    <w:uiPriority w:val="39"/>
    <w:pPr>
      <w:ind w:left="560"/>
    </w:pPr>
    <w:rPr>
      <w:rFonts w:cstheme="minorHAnsi"/>
      <w:sz w:val="20"/>
      <w:szCs w:val="20"/>
    </w:rPr>
  </w:style>
  <w:style w:type="paragraph" w:styleId="986" w:customStyle="1">
    <w:name w:val="Раздел положения 2"/>
    <w:basedOn w:val="771"/>
    <w:pPr>
      <w:jc w:val="both"/>
      <w:pageBreakBefore/>
      <w:outlineLvl w:val="0"/>
    </w:pPr>
    <w:rPr>
      <w:b/>
    </w:rPr>
  </w:style>
  <w:style w:type="character" w:styleId="987">
    <w:name w:val="Strong"/>
    <w:uiPriority w:val="22"/>
    <w:qFormat/>
    <w:rPr>
      <w:b/>
      <w:bCs/>
    </w:rPr>
  </w:style>
  <w:style w:type="character" w:styleId="988" w:customStyle="1">
    <w:name w:val="Заголовок 6 Знак"/>
    <w:link w:val="777"/>
    <w:uiPriority w:val="9"/>
    <w:rPr>
      <w:rFonts w:ascii="Cambria" w:hAnsi="Cambria"/>
      <w:i/>
      <w:iCs/>
      <w:color w:val="243f60"/>
    </w:rPr>
  </w:style>
  <w:style w:type="character" w:styleId="989" w:customStyle="1">
    <w:name w:val="Заголовок 7 Знак"/>
    <w:link w:val="778"/>
    <w:uiPriority w:val="9"/>
    <w:rPr>
      <w:rFonts w:ascii="Cambria" w:hAnsi="Cambria"/>
      <w:i/>
      <w:iCs/>
      <w:color w:val="404040"/>
    </w:rPr>
  </w:style>
  <w:style w:type="character" w:styleId="990" w:customStyle="1">
    <w:name w:val="Заголовок 8 Знак"/>
    <w:link w:val="779"/>
    <w:uiPriority w:val="9"/>
    <w:rPr>
      <w:rFonts w:ascii="Cambria" w:hAnsi="Cambria"/>
      <w:color w:val="4f81bd"/>
    </w:rPr>
  </w:style>
  <w:style w:type="character" w:styleId="991" w:customStyle="1">
    <w:name w:val="Заголовок 1 Знак"/>
    <w:link w:val="772"/>
    <w:rPr>
      <w:rFonts w:eastAsia="Calibri"/>
      <w:sz w:val="28"/>
      <w:szCs w:val="28"/>
    </w:rPr>
  </w:style>
  <w:style w:type="paragraph" w:styleId="992" w:customStyle="1">
    <w:name w:val="Знак Знак Знак Знак Знак Знак Знак Знак Знак"/>
    <w:basedOn w:val="771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93" w:customStyle="1">
    <w:name w:val="Заголовок 2 Знак"/>
    <w:link w:val="773"/>
    <w:rPr>
      <w:rFonts w:eastAsia="Calibri"/>
      <w:bCs/>
      <w:sz w:val="24"/>
      <w:szCs w:val="24"/>
    </w:rPr>
  </w:style>
  <w:style w:type="character" w:styleId="994" w:customStyle="1">
    <w:name w:val="Заголовок 3 Знак"/>
    <w:link w:val="774"/>
    <w:rPr>
      <w:rFonts w:eastAsia="Calibri"/>
      <w:sz w:val="24"/>
      <w:szCs w:val="24"/>
    </w:rPr>
  </w:style>
  <w:style w:type="character" w:styleId="995" w:customStyle="1">
    <w:name w:val="Заголовок 4 Знак"/>
    <w:link w:val="775"/>
    <w:rPr>
      <w:rFonts w:eastAsia="Calibri"/>
      <w:bCs/>
      <w:sz w:val="24"/>
      <w:szCs w:val="24"/>
    </w:rPr>
  </w:style>
  <w:style w:type="character" w:styleId="996" w:customStyle="1">
    <w:name w:val="Заголовок 5 Знак"/>
    <w:link w:val="776"/>
    <w:uiPriority w:val="9"/>
    <w:rPr>
      <w:b/>
      <w:bCs/>
      <w:i/>
      <w:iCs/>
      <w:sz w:val="26"/>
      <w:szCs w:val="26"/>
    </w:rPr>
  </w:style>
  <w:style w:type="character" w:styleId="997" w:customStyle="1">
    <w:name w:val="Заголовок 9 Знак"/>
    <w:link w:val="780"/>
    <w:uiPriority w:val="9"/>
    <w:rPr>
      <w:rFonts w:ascii="Arial" w:hAnsi="Arial" w:cs="Arial"/>
      <w:sz w:val="22"/>
      <w:szCs w:val="22"/>
    </w:rPr>
  </w:style>
  <w:style w:type="paragraph" w:styleId="998">
    <w:name w:val="No Spacing"/>
    <w:basedOn w:val="771"/>
    <w:qFormat/>
    <w:pPr>
      <w:spacing w:line="360" w:lineRule="auto"/>
    </w:pPr>
    <w:rPr>
      <w:rFonts w:eastAsia="Calibri"/>
      <w:sz w:val="24"/>
      <w:szCs w:val="24"/>
    </w:rPr>
  </w:style>
  <w:style w:type="paragraph" w:styleId="999">
    <w:name w:val="Caption"/>
    <w:basedOn w:val="771"/>
    <w:next w:val="771"/>
    <w:link w:val="785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00" w:customStyle="1">
    <w:name w:val="Название Знак"/>
    <w:link w:val="958"/>
    <w:uiPriority w:val="10"/>
    <w:rPr>
      <w:sz w:val="28"/>
    </w:rPr>
  </w:style>
  <w:style w:type="paragraph" w:styleId="1001">
    <w:name w:val="Subtitle"/>
    <w:basedOn w:val="771"/>
    <w:next w:val="771"/>
    <w:link w:val="100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02" w:customStyle="1">
    <w:name w:val="Подзаголовок Знак"/>
    <w:link w:val="1001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03">
    <w:name w:val="Emphasis"/>
    <w:uiPriority w:val="20"/>
    <w:qFormat/>
    <w:rPr>
      <w:i/>
      <w:iCs/>
    </w:rPr>
  </w:style>
  <w:style w:type="paragraph" w:styleId="1004">
    <w:name w:val="List Paragraph"/>
    <w:basedOn w:val="771"/>
    <w:link w:val="103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05">
    <w:name w:val="Quote"/>
    <w:basedOn w:val="771"/>
    <w:next w:val="771"/>
    <w:link w:val="100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06" w:customStyle="1">
    <w:name w:val="Цитата 2 Знак"/>
    <w:link w:val="1005"/>
    <w:uiPriority w:val="29"/>
    <w:rPr>
      <w:rFonts w:ascii="Calibri" w:hAnsi="Calibri" w:eastAsia="Calibri"/>
      <w:i/>
      <w:iCs/>
      <w:color w:val="000000"/>
    </w:rPr>
  </w:style>
  <w:style w:type="paragraph" w:styleId="1007">
    <w:name w:val="Intense Quote"/>
    <w:basedOn w:val="771"/>
    <w:next w:val="771"/>
    <w:link w:val="1008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08" w:customStyle="1">
    <w:name w:val="Выделенная цитата Знак"/>
    <w:link w:val="1007"/>
    <w:uiPriority w:val="30"/>
    <w:rPr>
      <w:rFonts w:ascii="Calibri" w:hAnsi="Calibri" w:eastAsia="Calibri"/>
      <w:b/>
      <w:bCs/>
      <w:i/>
      <w:iCs/>
      <w:color w:val="4f81bd"/>
    </w:rPr>
  </w:style>
  <w:style w:type="character" w:styleId="1009">
    <w:name w:val="Subtle Emphasis"/>
    <w:uiPriority w:val="19"/>
    <w:qFormat/>
    <w:rPr>
      <w:i/>
      <w:iCs/>
      <w:color w:val="808080"/>
    </w:rPr>
  </w:style>
  <w:style w:type="character" w:styleId="1010">
    <w:name w:val="Intense Emphasis"/>
    <w:uiPriority w:val="21"/>
    <w:qFormat/>
    <w:rPr>
      <w:b/>
      <w:bCs/>
      <w:i/>
      <w:iCs/>
      <w:color w:val="4f81bd"/>
    </w:rPr>
  </w:style>
  <w:style w:type="character" w:styleId="1011">
    <w:name w:val="Subtle Reference"/>
    <w:uiPriority w:val="31"/>
    <w:qFormat/>
    <w:rPr>
      <w:smallCaps/>
      <w:color w:val="c0504d"/>
      <w:u w:val="single"/>
    </w:rPr>
  </w:style>
  <w:style w:type="character" w:styleId="101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13">
    <w:name w:val="Book Title"/>
    <w:uiPriority w:val="33"/>
    <w:qFormat/>
    <w:rPr>
      <w:b/>
      <w:bCs/>
      <w:smallCaps/>
      <w:spacing w:val="5"/>
    </w:rPr>
  </w:style>
  <w:style w:type="paragraph" w:styleId="1014">
    <w:name w:val="TOC Heading"/>
    <w:basedOn w:val="772"/>
    <w:next w:val="771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15">
    <w:name w:val="E-mail Signature"/>
    <w:basedOn w:val="771"/>
    <w:link w:val="1016"/>
    <w:uiPriority w:val="99"/>
    <w:unhideWhenUsed/>
    <w:rPr>
      <w:rFonts w:eastAsia="Calibri"/>
      <w:sz w:val="24"/>
      <w:szCs w:val="24"/>
    </w:rPr>
  </w:style>
  <w:style w:type="character" w:styleId="1016" w:customStyle="1">
    <w:name w:val="Электронная подпись Знак"/>
    <w:link w:val="1015"/>
    <w:uiPriority w:val="99"/>
    <w:rPr>
      <w:rFonts w:eastAsia="Calibri"/>
      <w:sz w:val="24"/>
      <w:szCs w:val="24"/>
    </w:rPr>
  </w:style>
  <w:style w:type="paragraph" w:styleId="1017" w:customStyle="1">
    <w:name w:val="Знак"/>
    <w:basedOn w:val="77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8" w:customStyle="1">
    <w:name w:val="Нумерованный список ур3"/>
    <w:basedOn w:val="771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19" w:customStyle="1">
    <w:name w:val="Нумерованный список 1"/>
    <w:basedOn w:val="771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20" w:customStyle="1">
    <w:name w:val="Нумерованный список ур2"/>
    <w:basedOn w:val="771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21">
    <w:name w:val="Revision"/>
    <w:hidden/>
    <w:uiPriority w:val="99"/>
    <w:semiHidden/>
    <w:rPr>
      <w:rFonts w:eastAsia="Calibri"/>
      <w:sz w:val="24"/>
      <w:szCs w:val="24"/>
    </w:rPr>
  </w:style>
  <w:style w:type="paragraph" w:styleId="1022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23" w:customStyle="1">
    <w:name w:val="Знак Знак3 Знак Знак"/>
    <w:basedOn w:val="771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24" w:customStyle="1">
    <w:name w:val="Пункт"/>
    <w:basedOn w:val="771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25" w:customStyle="1">
    <w:name w:val="Подпункт Знак1"/>
    <w:link w:val="969"/>
    <w:rPr>
      <w:sz w:val="28"/>
    </w:rPr>
  </w:style>
  <w:style w:type="paragraph" w:styleId="1026" w:customStyle="1">
    <w:name w:val="Абзац списка1"/>
    <w:basedOn w:val="771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27" w:customStyle="1">
    <w:name w:val="Текст сноски Знак"/>
    <w:link w:val="953"/>
  </w:style>
  <w:style w:type="numbering" w:styleId="1028" w:customStyle="1">
    <w:name w:val="Стиль1"/>
    <w:uiPriority w:val="99"/>
    <w:pPr>
      <w:numPr>
        <w:ilvl w:val="0"/>
        <w:numId w:val="3"/>
      </w:numPr>
    </w:pPr>
  </w:style>
  <w:style w:type="paragraph" w:styleId="1029" w:customStyle="1">
    <w:name w:val="Таблица"/>
    <w:basedOn w:val="771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30" w:customStyle="1">
    <w:name w:val="Основной текст Знак"/>
    <w:link w:val="963"/>
    <w:rPr>
      <w:sz w:val="28"/>
      <w:szCs w:val="28"/>
    </w:rPr>
  </w:style>
  <w:style w:type="character" w:styleId="1031" w:customStyle="1">
    <w:name w:val="blk"/>
  </w:style>
  <w:style w:type="numbering" w:styleId="1032" w:customStyle="1">
    <w:name w:val="Стиль2"/>
    <w:uiPriority w:val="99"/>
    <w:pPr>
      <w:numPr>
        <w:ilvl w:val="0"/>
        <w:numId w:val="5"/>
      </w:numPr>
    </w:pPr>
  </w:style>
  <w:style w:type="paragraph" w:styleId="1033" w:customStyle="1">
    <w:name w:val="Таблица шапка"/>
    <w:basedOn w:val="771"/>
    <w:pPr>
      <w:ind w:left="57" w:right="57"/>
      <w:keepNext/>
      <w:spacing w:before="40" w:after="40"/>
    </w:pPr>
    <w:rPr>
      <w:sz w:val="22"/>
      <w:szCs w:val="26"/>
    </w:rPr>
  </w:style>
  <w:style w:type="character" w:styleId="1034" w:customStyle="1">
    <w:name w:val="Абзац списка Знак"/>
    <w:link w:val="1004"/>
    <w:uiPriority w:val="34"/>
    <w:qFormat/>
    <w:rPr>
      <w:rFonts w:eastAsia="Calibri"/>
      <w:sz w:val="24"/>
      <w:szCs w:val="24"/>
    </w:rPr>
  </w:style>
  <w:style w:type="character" w:styleId="1035" w:customStyle="1">
    <w:name w:val="комментарий"/>
    <w:rPr>
      <w:b/>
      <w:i/>
      <w:shd w:val="clear" w:color="auto" w:fill="ffff99"/>
    </w:rPr>
  </w:style>
  <w:style w:type="paragraph" w:styleId="1036" w:customStyle="1">
    <w:name w:val="Подподпункт"/>
    <w:basedOn w:val="969"/>
    <w:link w:val="1037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37" w:customStyle="1">
    <w:name w:val="Подподпункт Знак"/>
    <w:link w:val="1036"/>
    <w:rPr>
      <w:sz w:val="26"/>
      <w:szCs w:val="26"/>
    </w:rPr>
  </w:style>
  <w:style w:type="paragraph" w:styleId="1038" w:customStyle="1">
    <w:name w:val="УРОВЕНЬ_(а)"/>
    <w:basedOn w:val="1004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39" w:customStyle="1">
    <w:name w:val="УРОВЕНЬ_-"/>
    <w:basedOn w:val="1004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40" w:customStyle="1">
    <w:name w:val="УРОВЕНЬ_Абзац_тип2"/>
    <w:basedOn w:val="1004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41" w:customStyle="1">
    <w:name w:val="УРОВЕНЬ_Абзац_тип3"/>
    <w:basedOn w:val="1004"/>
    <w:link w:val="1043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42" w:customStyle="1">
    <w:name w:val="УРОВЕНЬ_Подпись"/>
    <w:basedOn w:val="1004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43" w:customStyle="1">
    <w:name w:val="УРОВЕНЬ_Абзац_тип3 Знак"/>
    <w:link w:val="1041"/>
    <w:rPr>
      <w:rFonts w:eastAsia="Calibri"/>
      <w:sz w:val="26"/>
      <w:szCs w:val="28"/>
      <w:lang w:eastAsia="en-US"/>
    </w:rPr>
  </w:style>
  <w:style w:type="character" w:styleId="1044" w:customStyle="1">
    <w:name w:val="Верхний колонтитул Знак"/>
    <w:link w:val="959"/>
    <w:uiPriority w:val="99"/>
    <w:rPr>
      <w:sz w:val="24"/>
      <w:szCs w:val="24"/>
    </w:rPr>
  </w:style>
  <w:style w:type="character" w:styleId="1045" w:customStyle="1">
    <w:name w:val="Текст примечания Знак"/>
    <w:link w:val="980"/>
    <w:semiHidden/>
  </w:style>
  <w:style w:type="paragraph" w:styleId="1046" w:customStyle="1">
    <w:name w:val="Стиль Заголовок 1 + по ширине"/>
    <w:basedOn w:val="772"/>
    <w:pPr>
      <w:numPr>
        <w:ilvl w:val="0"/>
        <w:numId w:val="0"/>
      </w:numPr>
      <w:ind w:left="567" w:hanging="567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47">
    <w:name w:val="endnote text"/>
    <w:basedOn w:val="771"/>
    <w:link w:val="1048"/>
    <w:rPr>
      <w:sz w:val="20"/>
      <w:szCs w:val="20"/>
    </w:rPr>
  </w:style>
  <w:style w:type="character" w:styleId="1048" w:customStyle="1">
    <w:name w:val="Текст концевой сноски Знак"/>
    <w:basedOn w:val="781"/>
    <w:link w:val="1047"/>
  </w:style>
  <w:style w:type="character" w:styleId="1049">
    <w:name w:val="endnote reference"/>
    <w:basedOn w:val="781"/>
    <w:rPr>
      <w:vertAlign w:val="superscript"/>
    </w:rPr>
  </w:style>
  <w:style w:type="paragraph" w:styleId="1050" w:customStyle="1">
    <w:name w:val="Заголовок 2 КВВ"/>
    <w:basedOn w:val="771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51" w:customStyle="1">
    <w:name w:val="Пункт2 Знак"/>
    <w:link w:val="970"/>
    <w:rPr>
      <w:b/>
      <w:sz w:val="28"/>
    </w:rPr>
  </w:style>
  <w:style w:type="paragraph" w:styleId="1052" w:customStyle="1">
    <w:name w:val="Таблица текст"/>
    <w:basedOn w:val="771"/>
    <w:pPr>
      <w:ind w:left="57" w:right="57"/>
      <w:spacing w:before="40" w:after="40"/>
    </w:pPr>
    <w:rPr>
      <w:sz w:val="24"/>
      <w:szCs w:val="26"/>
    </w:rPr>
  </w:style>
  <w:style w:type="paragraph" w:styleId="1053">
    <w:name w:val="Normal (Web)"/>
    <w:basedOn w:val="771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54" w:customStyle="1">
    <w:name w:val="УРОВЕНЬ_1."/>
    <w:basedOn w:val="1004"/>
    <w:link w:val="105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55" w:customStyle="1">
    <w:name w:val="УРОВЕНЬ_1. Знак"/>
    <w:link w:val="1054"/>
    <w:rPr>
      <w:rFonts w:eastAsia="Calibri"/>
      <w:caps/>
      <w:sz w:val="28"/>
      <w:szCs w:val="28"/>
      <w:lang w:eastAsia="en-US"/>
    </w:rPr>
  </w:style>
  <w:style w:type="table" w:styleId="1056" w:customStyle="1">
    <w:name w:val="Сетка таблицы1"/>
    <w:basedOn w:val="782"/>
    <w:next w:val="961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57">
    <w:name w:val="toc 6"/>
    <w:basedOn w:val="771"/>
    <w:next w:val="771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58">
    <w:name w:val="toc 7"/>
    <w:basedOn w:val="771"/>
    <w:next w:val="771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59">
    <w:name w:val="toc 8"/>
    <w:basedOn w:val="771"/>
    <w:next w:val="771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60" w:customStyle="1">
    <w:name w:val="Неразрешенное упоминание1"/>
    <w:basedOn w:val="781"/>
    <w:uiPriority w:val="99"/>
    <w:semiHidden/>
    <w:unhideWhenUsed/>
    <w:rPr>
      <w:color w:val="605e5c"/>
      <w:shd w:val="clear" w:color="auto" w:fill="e1dfdd"/>
    </w:rPr>
  </w:style>
  <w:style w:type="paragraph" w:styleId="1061" w:customStyle="1">
    <w:name w:val="xl76"/>
    <w:basedOn w:val="77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62" w:customStyle="1">
    <w:name w:val="[РГ] Подраздел"/>
    <w:basedOn w:val="1004"/>
    <w:next w:val="1063"/>
    <w:qFormat/>
    <w:pPr>
      <w:numPr>
        <w:ilvl w:val="2"/>
        <w:numId w:val="11"/>
      </w:numPr>
      <w:contextualSpacing w:val="0"/>
      <w:ind w:left="993" w:hanging="993"/>
      <w:jc w:val="both"/>
      <w:keepNext/>
      <w:spacing w:before="240"/>
      <w:outlineLvl w:val="2"/>
    </w:pPr>
    <w:rPr>
      <w:rFonts w:eastAsia="Times New Roman" w:cs="Calibri Light" w:asciiTheme="majorHAnsi" w:hAnsiTheme="majorHAnsi"/>
      <w:b/>
      <w:bCs/>
      <w:iCs/>
      <w:color w:val="000000"/>
      <w:sz w:val="26"/>
      <w:szCs w:val="26"/>
      <w:lang w:eastAsia="en-US"/>
    </w:rPr>
  </w:style>
  <w:style w:type="paragraph" w:styleId="1063" w:customStyle="1">
    <w:name w:val="[РГ] Пункт"/>
    <w:basedOn w:val="1004"/>
    <w:qFormat/>
    <w:pPr>
      <w:numPr>
        <w:ilvl w:val="3"/>
        <w:numId w:val="11"/>
      </w:numPr>
      <w:contextualSpacing w:val="0"/>
      <w:ind w:left="992" w:hanging="992"/>
      <w:jc w:val="both"/>
      <w:spacing w:before="120" w:after="240"/>
      <w:outlineLvl w:val="3"/>
    </w:pPr>
    <w:rPr>
      <w:rFonts w:eastAsia="Times New Roman" w:cs="Calibri Light" w:asciiTheme="majorHAnsi" w:hAnsiTheme="majorHAnsi"/>
      <w:color w:val="000000"/>
      <w:sz w:val="26"/>
      <w:szCs w:val="26"/>
      <w:lang w:eastAsia="en-US"/>
    </w:rPr>
  </w:style>
  <w:style w:type="paragraph" w:styleId="1064" w:customStyle="1">
    <w:name w:val="[РГ] Подпункт"/>
    <w:basedOn w:val="1004"/>
    <w:qFormat/>
    <w:pPr>
      <w:numPr>
        <w:ilvl w:val="4"/>
        <w:numId w:val="11"/>
      </w:numPr>
      <w:contextualSpacing w:val="0"/>
      <w:jc w:val="both"/>
      <w:spacing w:before="120" w:after="240"/>
      <w:outlineLvl w:val="4"/>
    </w:pPr>
    <w:rPr>
      <w:rFonts w:eastAsia="Times New Roman" w:cs="Calibri Light" w:asciiTheme="majorHAnsi" w:hAnsiTheme="majorHAnsi"/>
      <w:bCs/>
      <w:iCs/>
      <w:color w:val="000000"/>
      <w:sz w:val="26"/>
      <w:szCs w:val="26"/>
      <w:lang w:eastAsia="en-US"/>
    </w:rPr>
  </w:style>
  <w:style w:type="table" w:styleId="1065" w:customStyle="1">
    <w:name w:val="Сетка таблицы2"/>
    <w:basedOn w:val="782"/>
    <w:next w:val="961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066" w:customStyle="1">
    <w:name w:val="Font Style17"/>
    <w:rPr>
      <w:rFonts w:ascii="Times New Roman" w:hAnsi="Times New Roman"/>
      <w:sz w:val="20"/>
      <w:szCs w:val="20"/>
    </w:rPr>
  </w:style>
  <w:style w:type="character" w:styleId="1067" w:customStyle="1">
    <w:name w:val="Основной текст (2)_"/>
    <w:link w:val="1068"/>
    <w:rPr>
      <w:sz w:val="22"/>
      <w:szCs w:val="22"/>
      <w:shd w:val="clear" w:color="auto" w:fill="ffffff"/>
    </w:rPr>
  </w:style>
  <w:style w:type="paragraph" w:styleId="1068" w:customStyle="1">
    <w:name w:val="Основной текст (2)"/>
    <w:basedOn w:val="771"/>
    <w:link w:val="1067"/>
    <w:pPr>
      <w:jc w:val="both"/>
      <w:spacing w:line="281" w:lineRule="exact"/>
      <w:shd w:val="clear" w:color="auto" w:fill="ffffff"/>
      <w:widowControl w:val="off"/>
    </w:pPr>
    <w:rPr>
      <w:sz w:val="22"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lopatin_ga</cp:lastModifiedBy>
  <cp:revision>30</cp:revision>
  <dcterms:created xsi:type="dcterms:W3CDTF">2026-04-29T09:48:00Z</dcterms:created>
  <dcterms:modified xsi:type="dcterms:W3CDTF">2026-09-02T00:12:13Z</dcterms:modified>
</cp:coreProperties>
</file>